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4A92E" w14:textId="77777777" w:rsidR="0078453D" w:rsidRDefault="0078453D">
      <w:pPr>
        <w:rPr>
          <w:b/>
        </w:rPr>
      </w:pPr>
      <w:r>
        <w:rPr>
          <w:noProof/>
          <w:lang w:eastAsia="fr-BE"/>
        </w:rPr>
        <w:drawing>
          <wp:inline distT="0" distB="0" distL="0" distR="0" wp14:anchorId="7004F993" wp14:editId="09E781C7">
            <wp:extent cx="4195068" cy="1266825"/>
            <wp:effectExtent l="0" t="0" r="0" b="0"/>
            <wp:docPr id="2026632419" name="Picture 1" descr="A person standing in front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632419" name="Picture 1" descr="A person standing in front of a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262680" cy="1287242"/>
                    </a:xfrm>
                    <a:prstGeom prst="rect">
                      <a:avLst/>
                    </a:prstGeom>
                  </pic:spPr>
                </pic:pic>
              </a:graphicData>
            </a:graphic>
          </wp:inline>
        </w:drawing>
      </w:r>
    </w:p>
    <w:p w14:paraId="07DAEDAE" w14:textId="77777777" w:rsidR="0021140E" w:rsidRPr="00BE1631" w:rsidRDefault="0021140E">
      <w:pPr>
        <w:rPr>
          <w:b/>
        </w:rPr>
      </w:pPr>
      <w:r w:rsidRPr="00BE1631">
        <w:rPr>
          <w:b/>
        </w:rPr>
        <w:t>SALON DU MEUBLE BRUXELLES – CONFÉRENCE DE PRESSE 2024</w:t>
      </w:r>
    </w:p>
    <w:p w14:paraId="74DCE6E1" w14:textId="596C57F6" w:rsidR="0021140E" w:rsidRDefault="0021140E" w:rsidP="0078453D">
      <w:pPr>
        <w:pStyle w:val="ListParagraph"/>
        <w:numPr>
          <w:ilvl w:val="0"/>
          <w:numId w:val="4"/>
        </w:numPr>
      </w:pPr>
      <w:r>
        <w:t xml:space="preserve">Mot de bienvenue par </w:t>
      </w:r>
      <w:r w:rsidR="008F168F">
        <w:t>Thomas Hibert,</w:t>
      </w:r>
      <w:r>
        <w:t xml:space="preserve"> Salon du Meuble de Bruxelles</w:t>
      </w:r>
    </w:p>
    <w:p w14:paraId="59923F30" w14:textId="77777777" w:rsidR="0021140E" w:rsidRDefault="0021140E" w:rsidP="0078453D">
      <w:pPr>
        <w:pStyle w:val="ListParagraph"/>
        <w:numPr>
          <w:ilvl w:val="0"/>
          <w:numId w:val="4"/>
        </w:numPr>
      </w:pPr>
      <w:r>
        <w:t xml:space="preserve">Note de conjoncture 2024, présentée par Filip De Jaeger, COO de </w:t>
      </w:r>
      <w:proofErr w:type="spellStart"/>
      <w:r>
        <w:t>Fedustria</w:t>
      </w:r>
      <w:proofErr w:type="spellEnd"/>
    </w:p>
    <w:p w14:paraId="5A8EEFEC" w14:textId="5A9CD9CB" w:rsidR="0021140E" w:rsidRDefault="0021140E" w:rsidP="0078453D">
      <w:pPr>
        <w:pStyle w:val="ListParagraph"/>
        <w:numPr>
          <w:ilvl w:val="0"/>
          <w:numId w:val="4"/>
        </w:numPr>
      </w:pPr>
      <w:r>
        <w:t>Salon du Meuble de Bruxelles</w:t>
      </w:r>
      <w:r w:rsidR="008F168F">
        <w:t>, présenté par Glenn De Maeseneer</w:t>
      </w:r>
    </w:p>
    <w:p w14:paraId="3744FD67" w14:textId="77777777" w:rsidR="00E10228" w:rsidRPr="00C76BD1" w:rsidRDefault="00E10228" w:rsidP="00E10228">
      <w:pPr>
        <w:spacing w:before="120" w:after="120" w:line="240" w:lineRule="auto"/>
        <w:contextualSpacing/>
        <w:rPr>
          <w:rFonts w:cstheme="minorHAnsi"/>
          <w:b/>
          <w:bCs/>
          <w:sz w:val="28"/>
          <w:szCs w:val="28"/>
        </w:rPr>
      </w:pPr>
      <w:r>
        <w:rPr>
          <w:rFonts w:cstheme="minorHAnsi"/>
          <w:b/>
          <w:bCs/>
          <w:sz w:val="28"/>
          <w:szCs w:val="28"/>
          <w:lang w:val="fr"/>
        </w:rPr>
        <w:t>Salon du meuble Bruxelles 2024</w:t>
      </w:r>
    </w:p>
    <w:p w14:paraId="6CBA26CA" w14:textId="77777777" w:rsidR="00E10228" w:rsidRPr="00C76BD1" w:rsidRDefault="00E10228" w:rsidP="00E10228">
      <w:pPr>
        <w:spacing w:before="120" w:after="120" w:line="240" w:lineRule="auto"/>
        <w:contextualSpacing/>
        <w:rPr>
          <w:rFonts w:cstheme="minorHAnsi"/>
          <w:b/>
          <w:bCs/>
          <w:sz w:val="28"/>
          <w:szCs w:val="28"/>
        </w:rPr>
      </w:pPr>
    </w:p>
    <w:p w14:paraId="3C6F1370" w14:textId="77777777" w:rsidR="00E10228" w:rsidRDefault="00E10228" w:rsidP="00E10228">
      <w:pPr>
        <w:spacing w:before="120" w:after="120" w:line="240" w:lineRule="auto"/>
        <w:contextualSpacing/>
        <w:rPr>
          <w:rFonts w:cstheme="minorHAnsi"/>
          <w:b/>
          <w:bCs/>
          <w:sz w:val="28"/>
          <w:szCs w:val="28"/>
          <w:lang w:val="fr"/>
        </w:rPr>
      </w:pPr>
      <w:r w:rsidRPr="00DC3722">
        <w:rPr>
          <w:rFonts w:cstheme="minorHAnsi"/>
          <w:b/>
          <w:bCs/>
          <w:sz w:val="28"/>
          <w:szCs w:val="28"/>
          <w:lang w:val="fr"/>
        </w:rPr>
        <w:t>Conjoncture dans l’industrie belge de l’ameublement en 202</w:t>
      </w:r>
      <w:r>
        <w:rPr>
          <w:rFonts w:cstheme="minorHAnsi"/>
          <w:b/>
          <w:bCs/>
          <w:sz w:val="28"/>
          <w:szCs w:val="28"/>
          <w:lang w:val="fr"/>
        </w:rPr>
        <w:t>3</w:t>
      </w:r>
    </w:p>
    <w:p w14:paraId="0C497380" w14:textId="77777777" w:rsidR="00E10228" w:rsidRPr="00C76BD1" w:rsidRDefault="00E10228" w:rsidP="00E10228">
      <w:pPr>
        <w:spacing w:before="120" w:after="120" w:line="240" w:lineRule="auto"/>
        <w:contextualSpacing/>
        <w:rPr>
          <w:rFonts w:cstheme="minorHAnsi"/>
          <w:b/>
          <w:bCs/>
          <w:sz w:val="28"/>
          <w:szCs w:val="28"/>
        </w:rPr>
      </w:pPr>
      <w:r w:rsidRPr="00DC3722">
        <w:rPr>
          <w:rFonts w:cstheme="minorHAnsi"/>
          <w:b/>
          <w:bCs/>
          <w:sz w:val="28"/>
          <w:szCs w:val="28"/>
          <w:lang w:val="fr"/>
        </w:rPr>
        <w:t>et au 1</w:t>
      </w:r>
      <w:r w:rsidRPr="00B0501F">
        <w:rPr>
          <w:rFonts w:cstheme="minorHAnsi"/>
          <w:b/>
          <w:bCs/>
          <w:sz w:val="28"/>
          <w:szCs w:val="28"/>
          <w:vertAlign w:val="superscript"/>
          <w:lang w:val="fr"/>
        </w:rPr>
        <w:t>er</w:t>
      </w:r>
      <w:r w:rsidRPr="00DC3722">
        <w:rPr>
          <w:rFonts w:cstheme="minorHAnsi"/>
          <w:b/>
          <w:bCs/>
          <w:sz w:val="28"/>
          <w:szCs w:val="28"/>
          <w:lang w:val="fr"/>
        </w:rPr>
        <w:t xml:space="preserve"> s</w:t>
      </w:r>
      <w:r>
        <w:rPr>
          <w:rFonts w:cstheme="minorHAnsi"/>
          <w:b/>
          <w:bCs/>
          <w:sz w:val="28"/>
          <w:szCs w:val="28"/>
          <w:lang w:val="fr"/>
        </w:rPr>
        <w:t>e</w:t>
      </w:r>
      <w:r w:rsidRPr="00DC3722">
        <w:rPr>
          <w:rFonts w:cstheme="minorHAnsi"/>
          <w:b/>
          <w:bCs/>
          <w:sz w:val="28"/>
          <w:szCs w:val="28"/>
          <w:lang w:val="fr"/>
        </w:rPr>
        <w:t>m</w:t>
      </w:r>
      <w:r>
        <w:rPr>
          <w:rFonts w:cstheme="minorHAnsi"/>
          <w:b/>
          <w:bCs/>
          <w:sz w:val="28"/>
          <w:szCs w:val="28"/>
          <w:lang w:val="fr"/>
        </w:rPr>
        <w:t>estre</w:t>
      </w:r>
      <w:r w:rsidRPr="00DC3722">
        <w:rPr>
          <w:rFonts w:cstheme="minorHAnsi"/>
          <w:b/>
          <w:bCs/>
          <w:sz w:val="28"/>
          <w:szCs w:val="28"/>
          <w:lang w:val="fr"/>
        </w:rPr>
        <w:t xml:space="preserve"> 2024</w:t>
      </w:r>
    </w:p>
    <w:p w14:paraId="78E0B7BC" w14:textId="77777777" w:rsidR="00E10228" w:rsidRPr="00C76BD1" w:rsidRDefault="00E10228" w:rsidP="00E10228">
      <w:pPr>
        <w:spacing w:before="120" w:after="120" w:line="240" w:lineRule="auto"/>
        <w:contextualSpacing/>
        <w:rPr>
          <w:rFonts w:cstheme="minorHAnsi"/>
        </w:rPr>
      </w:pPr>
    </w:p>
    <w:p w14:paraId="5FF59703" w14:textId="77777777" w:rsidR="00E10228" w:rsidRPr="00C76BD1" w:rsidRDefault="00E10228" w:rsidP="00E10228">
      <w:pPr>
        <w:suppressAutoHyphens/>
        <w:autoSpaceDE w:val="0"/>
        <w:autoSpaceDN w:val="0"/>
        <w:adjustRightInd w:val="0"/>
        <w:spacing w:before="120" w:after="120" w:line="240" w:lineRule="auto"/>
        <w:contextualSpacing/>
        <w:textAlignment w:val="center"/>
        <w:rPr>
          <w:rFonts w:cstheme="minorHAnsi"/>
          <w:b/>
          <w:bCs/>
          <w:color w:val="000000"/>
        </w:rPr>
      </w:pPr>
      <w:r>
        <w:rPr>
          <w:rFonts w:cstheme="minorHAnsi"/>
          <w:b/>
          <w:bCs/>
          <w:color w:val="000000"/>
          <w:lang w:val="fr"/>
        </w:rPr>
        <w:t xml:space="preserve">BAISSE DES VENTES SUITE À UNE DÉGRADATION DE LA COMPÉTITIVITÉ ET UNE FAIBLE DEMANDE </w:t>
      </w:r>
    </w:p>
    <w:p w14:paraId="6BAF47B2" w14:textId="77777777" w:rsidR="00E10228" w:rsidRPr="00C76BD1" w:rsidRDefault="00E10228" w:rsidP="00E10228">
      <w:pPr>
        <w:suppressAutoHyphens/>
        <w:autoSpaceDE w:val="0"/>
        <w:autoSpaceDN w:val="0"/>
        <w:adjustRightInd w:val="0"/>
        <w:spacing w:after="0" w:line="240" w:lineRule="auto"/>
        <w:contextualSpacing/>
        <w:textAlignment w:val="center"/>
        <w:rPr>
          <w:rFonts w:cstheme="minorHAnsi"/>
          <w:color w:val="000000"/>
        </w:rPr>
      </w:pPr>
    </w:p>
    <w:p w14:paraId="3E5E704D" w14:textId="77777777" w:rsidR="00E10228" w:rsidRPr="00C76BD1" w:rsidRDefault="00E10228" w:rsidP="00E10228">
      <w:pPr>
        <w:spacing w:after="0" w:line="240" w:lineRule="auto"/>
        <w:rPr>
          <w:rFonts w:cstheme="minorHAnsi"/>
          <w:u w:val="single"/>
        </w:rPr>
      </w:pPr>
      <w:r w:rsidRPr="00E66D3F">
        <w:rPr>
          <w:rFonts w:cstheme="minorHAnsi"/>
          <w:u w:val="single"/>
          <w:lang w:val="fr"/>
        </w:rPr>
        <w:t>L’industrie belge de l’ameublement</w:t>
      </w:r>
    </w:p>
    <w:p w14:paraId="4806FE88" w14:textId="77777777" w:rsidR="00E10228" w:rsidRPr="00C76BD1" w:rsidRDefault="00E10228" w:rsidP="00E10228">
      <w:pPr>
        <w:spacing w:after="0" w:line="240" w:lineRule="auto"/>
        <w:rPr>
          <w:rFonts w:cstheme="minorHAnsi"/>
        </w:rPr>
      </w:pPr>
    </w:p>
    <w:p w14:paraId="4F5F88F6" w14:textId="77777777" w:rsidR="00E10228" w:rsidRPr="00C76BD1" w:rsidRDefault="00E10228" w:rsidP="00E10228">
      <w:pPr>
        <w:pBdr>
          <w:top w:val="single" w:sz="4" w:space="1" w:color="auto"/>
          <w:left w:val="single" w:sz="4" w:space="1" w:color="auto"/>
          <w:bottom w:val="single" w:sz="4" w:space="1" w:color="auto"/>
          <w:right w:val="single" w:sz="4" w:space="1" w:color="auto"/>
        </w:pBdr>
        <w:spacing w:after="0" w:line="240" w:lineRule="auto"/>
      </w:pPr>
      <w:r w:rsidRPr="00E66D3F">
        <w:rPr>
          <w:lang w:val="fr"/>
        </w:rPr>
        <w:t>Chiffres clés (2023)</w:t>
      </w:r>
    </w:p>
    <w:p w14:paraId="1F16323E" w14:textId="77777777" w:rsidR="00E10228" w:rsidRPr="00C76BD1" w:rsidRDefault="00E10228" w:rsidP="00E10228">
      <w:pPr>
        <w:pBdr>
          <w:top w:val="single" w:sz="4" w:space="1" w:color="auto"/>
          <w:left w:val="single" w:sz="4" w:space="1" w:color="auto"/>
          <w:bottom w:val="single" w:sz="4" w:space="1" w:color="auto"/>
          <w:right w:val="single" w:sz="4" w:space="1" w:color="auto"/>
        </w:pBdr>
        <w:spacing w:after="0" w:line="240" w:lineRule="auto"/>
        <w:rPr>
          <w:rFonts w:cstheme="minorHAnsi"/>
          <w:sz w:val="14"/>
        </w:rPr>
      </w:pPr>
    </w:p>
    <w:p w14:paraId="31922514" w14:textId="77777777" w:rsidR="00E10228" w:rsidRPr="00E66D3F" w:rsidRDefault="00E10228" w:rsidP="00E10228">
      <w:pPr>
        <w:pStyle w:val="ListParagraph"/>
        <w:numPr>
          <w:ilvl w:val="0"/>
          <w:numId w:val="5"/>
        </w:numPr>
        <w:pBdr>
          <w:top w:val="single" w:sz="4" w:space="1" w:color="auto"/>
          <w:left w:val="single" w:sz="4" w:space="1" w:color="auto"/>
          <w:bottom w:val="single" w:sz="4" w:space="1" w:color="auto"/>
          <w:right w:val="single" w:sz="4" w:space="1" w:color="auto"/>
        </w:pBdr>
        <w:spacing w:after="0" w:line="240" w:lineRule="auto"/>
        <w:ind w:left="284" w:hanging="284"/>
      </w:pPr>
      <w:r>
        <w:rPr>
          <w:lang w:val="fr"/>
        </w:rPr>
        <w:t>702 entreprises</w:t>
      </w:r>
    </w:p>
    <w:p w14:paraId="4EA53EB7" w14:textId="77777777" w:rsidR="00E10228" w:rsidRPr="00E66D3F" w:rsidRDefault="00E10228" w:rsidP="00E10228">
      <w:pPr>
        <w:pStyle w:val="ListParagraph"/>
        <w:numPr>
          <w:ilvl w:val="0"/>
          <w:numId w:val="5"/>
        </w:numPr>
        <w:pBdr>
          <w:top w:val="single" w:sz="4" w:space="1" w:color="auto"/>
          <w:left w:val="single" w:sz="4" w:space="1" w:color="auto"/>
          <w:bottom w:val="single" w:sz="4" w:space="1" w:color="auto"/>
          <w:right w:val="single" w:sz="4" w:space="1" w:color="auto"/>
        </w:pBdr>
        <w:spacing w:after="0" w:line="240" w:lineRule="auto"/>
        <w:ind w:left="284" w:hanging="284"/>
        <w:rPr>
          <w:rFonts w:cstheme="minorHAnsi"/>
        </w:rPr>
      </w:pPr>
      <w:r>
        <w:rPr>
          <w:rFonts w:cstheme="minorHAnsi"/>
          <w:lang w:val="fr"/>
        </w:rPr>
        <w:t>9 559 employés</w:t>
      </w:r>
    </w:p>
    <w:p w14:paraId="3463D324" w14:textId="77777777" w:rsidR="00E10228" w:rsidRPr="00E66D3F" w:rsidRDefault="00E10228" w:rsidP="00E10228">
      <w:pPr>
        <w:pStyle w:val="ListParagraph"/>
        <w:numPr>
          <w:ilvl w:val="0"/>
          <w:numId w:val="5"/>
        </w:numPr>
        <w:pBdr>
          <w:top w:val="single" w:sz="4" w:space="1" w:color="auto"/>
          <w:left w:val="single" w:sz="4" w:space="1" w:color="auto"/>
          <w:bottom w:val="single" w:sz="4" w:space="1" w:color="auto"/>
          <w:right w:val="single" w:sz="4" w:space="1" w:color="auto"/>
        </w:pBdr>
        <w:spacing w:after="0" w:line="240" w:lineRule="auto"/>
        <w:ind w:left="284" w:hanging="284"/>
        <w:rPr>
          <w:rFonts w:cstheme="minorHAnsi"/>
        </w:rPr>
      </w:pPr>
      <w:r w:rsidRPr="00E66D3F">
        <w:rPr>
          <w:rFonts w:cstheme="minorHAnsi"/>
          <w:lang w:val="fr"/>
        </w:rPr>
        <w:t>Chiffre d’affaires : 2,1 milliards d’euros</w:t>
      </w:r>
    </w:p>
    <w:p w14:paraId="74A7CBB0" w14:textId="77777777" w:rsidR="00E10228" w:rsidRPr="00C76BD1" w:rsidRDefault="00E10228" w:rsidP="00E10228">
      <w:pPr>
        <w:pStyle w:val="ListParagraph"/>
        <w:numPr>
          <w:ilvl w:val="0"/>
          <w:numId w:val="5"/>
        </w:numPr>
        <w:pBdr>
          <w:top w:val="single" w:sz="4" w:space="1" w:color="auto"/>
          <w:left w:val="single" w:sz="4" w:space="1" w:color="auto"/>
          <w:bottom w:val="single" w:sz="4" w:space="1" w:color="auto"/>
          <w:right w:val="single" w:sz="4" w:space="1" w:color="auto"/>
        </w:pBdr>
        <w:spacing w:after="0" w:line="240" w:lineRule="auto"/>
        <w:ind w:left="284" w:hanging="284"/>
        <w:rPr>
          <w:rFonts w:cstheme="minorHAnsi"/>
        </w:rPr>
      </w:pPr>
      <w:r w:rsidRPr="00E66D3F">
        <w:rPr>
          <w:rFonts w:cstheme="minorHAnsi"/>
          <w:lang w:val="fr"/>
        </w:rPr>
        <w:t>Évolution de l’activité en valeur : -7 %</w:t>
      </w:r>
    </w:p>
    <w:p w14:paraId="643E274E" w14:textId="77777777" w:rsidR="00E10228" w:rsidRPr="00E66D3F" w:rsidRDefault="00E10228" w:rsidP="00E10228">
      <w:pPr>
        <w:pStyle w:val="ListParagraph"/>
        <w:numPr>
          <w:ilvl w:val="0"/>
          <w:numId w:val="5"/>
        </w:numPr>
        <w:pBdr>
          <w:top w:val="single" w:sz="4" w:space="1" w:color="auto"/>
          <w:left w:val="single" w:sz="4" w:space="1" w:color="auto"/>
          <w:bottom w:val="single" w:sz="4" w:space="1" w:color="auto"/>
          <w:right w:val="single" w:sz="4" w:space="1" w:color="auto"/>
        </w:pBdr>
        <w:spacing w:after="0" w:line="240" w:lineRule="auto"/>
        <w:ind w:left="284" w:hanging="284"/>
        <w:rPr>
          <w:rFonts w:cstheme="minorHAnsi"/>
        </w:rPr>
      </w:pPr>
      <w:r w:rsidRPr="00E66D3F">
        <w:rPr>
          <w:rFonts w:cstheme="minorHAnsi"/>
          <w:lang w:val="fr"/>
        </w:rPr>
        <w:t>Part des exportations : 57 %</w:t>
      </w:r>
    </w:p>
    <w:p w14:paraId="3F76CBA7" w14:textId="77777777" w:rsidR="00E10228" w:rsidRPr="00C76BD1" w:rsidRDefault="00E10228" w:rsidP="00E10228">
      <w:pPr>
        <w:pStyle w:val="ListParagraph"/>
        <w:numPr>
          <w:ilvl w:val="0"/>
          <w:numId w:val="5"/>
        </w:numPr>
        <w:pBdr>
          <w:top w:val="single" w:sz="4" w:space="1" w:color="auto"/>
          <w:left w:val="single" w:sz="4" w:space="1" w:color="auto"/>
          <w:bottom w:val="single" w:sz="4" w:space="1" w:color="auto"/>
          <w:right w:val="single" w:sz="4" w:space="1" w:color="auto"/>
        </w:pBdr>
        <w:spacing w:after="0" w:line="240" w:lineRule="auto"/>
        <w:ind w:left="284" w:hanging="284"/>
        <w:rPr>
          <w:rFonts w:cstheme="minorHAnsi"/>
        </w:rPr>
      </w:pPr>
      <w:r w:rsidRPr="00E66D3F">
        <w:rPr>
          <w:rFonts w:cstheme="minorHAnsi"/>
          <w:lang w:val="fr"/>
        </w:rPr>
        <w:t>Part dans le chiffre d’affaires total de l’industrie belge du bois et de l’ameublement : 35 %</w:t>
      </w:r>
    </w:p>
    <w:p w14:paraId="4B6FAA39" w14:textId="77777777" w:rsidR="00E10228" w:rsidRPr="00C76BD1" w:rsidRDefault="00E10228" w:rsidP="00E10228">
      <w:pPr>
        <w:pBdr>
          <w:top w:val="single" w:sz="4" w:space="1" w:color="auto"/>
          <w:left w:val="single" w:sz="4" w:space="1" w:color="auto"/>
          <w:bottom w:val="single" w:sz="4" w:space="1" w:color="auto"/>
          <w:right w:val="single" w:sz="4" w:space="1" w:color="auto"/>
        </w:pBdr>
        <w:spacing w:after="0" w:line="240" w:lineRule="auto"/>
        <w:rPr>
          <w:rFonts w:cstheme="minorHAnsi"/>
          <w:sz w:val="10"/>
          <w:szCs w:val="10"/>
        </w:rPr>
      </w:pPr>
    </w:p>
    <w:p w14:paraId="15E21D68" w14:textId="77777777" w:rsidR="00E10228" w:rsidRPr="00C76BD1" w:rsidRDefault="00E10228" w:rsidP="00E10228">
      <w:pPr>
        <w:tabs>
          <w:tab w:val="left" w:pos="-828"/>
          <w:tab w:val="left" w:pos="4253"/>
        </w:tabs>
        <w:suppressAutoHyphens/>
        <w:spacing w:after="0" w:line="240" w:lineRule="auto"/>
        <w:jc w:val="both"/>
        <w:rPr>
          <w:rFonts w:cstheme="minorHAnsi"/>
          <w:spacing w:val="-3"/>
        </w:rPr>
      </w:pPr>
    </w:p>
    <w:p w14:paraId="1E8EEA50" w14:textId="77777777" w:rsidR="00E10228" w:rsidRPr="00C76BD1" w:rsidRDefault="00E10228" w:rsidP="00E10228">
      <w:pPr>
        <w:tabs>
          <w:tab w:val="left" w:pos="-828"/>
          <w:tab w:val="left" w:pos="4253"/>
        </w:tabs>
        <w:suppressAutoHyphens/>
        <w:spacing w:after="0" w:line="240" w:lineRule="auto"/>
        <w:jc w:val="both"/>
        <w:rPr>
          <w:rFonts w:cstheme="minorHAnsi"/>
          <w:spacing w:val="-3"/>
          <w:u w:val="single"/>
        </w:rPr>
      </w:pPr>
      <w:r w:rsidRPr="00E66D3F">
        <w:rPr>
          <w:rFonts w:cstheme="minorHAnsi"/>
          <w:spacing w:val="-3"/>
          <w:u w:val="single"/>
          <w:lang w:val="fr"/>
        </w:rPr>
        <w:t>Résumé des développements de la première moitié de 2024</w:t>
      </w:r>
    </w:p>
    <w:p w14:paraId="6BBFB622" w14:textId="77777777" w:rsidR="00E10228" w:rsidRPr="00C76BD1" w:rsidRDefault="00E10228" w:rsidP="00E10228">
      <w:pPr>
        <w:tabs>
          <w:tab w:val="left" w:pos="-828"/>
          <w:tab w:val="left" w:pos="4253"/>
        </w:tabs>
        <w:suppressAutoHyphens/>
        <w:spacing w:after="0" w:line="240" w:lineRule="auto"/>
        <w:jc w:val="both"/>
        <w:rPr>
          <w:rFonts w:cstheme="minorHAnsi"/>
          <w:spacing w:val="-3"/>
        </w:rPr>
      </w:pPr>
    </w:p>
    <w:p w14:paraId="34BB2399" w14:textId="77777777" w:rsidR="00E10228" w:rsidRPr="00C76BD1" w:rsidRDefault="00E10228" w:rsidP="00E10228">
      <w:pPr>
        <w:pStyle w:val="ListParagraph"/>
        <w:numPr>
          <w:ilvl w:val="0"/>
          <w:numId w:val="6"/>
        </w:numPr>
        <w:tabs>
          <w:tab w:val="left" w:pos="4253"/>
        </w:tabs>
        <w:suppressAutoHyphens/>
        <w:spacing w:after="0" w:line="240" w:lineRule="auto"/>
        <w:ind w:left="284" w:hanging="284"/>
        <w:jc w:val="both"/>
        <w:rPr>
          <w:spacing w:val="-3"/>
        </w:rPr>
      </w:pPr>
      <w:r w:rsidRPr="1C83DAF5">
        <w:rPr>
          <w:spacing w:val="-3"/>
          <w:lang w:val="fr"/>
        </w:rPr>
        <w:t>Chiffre d’affaires : 1 023,1 millions d’euros, -7,8 % par rapport au premier semestre 2023</w:t>
      </w:r>
      <w:r>
        <w:rPr>
          <w:spacing w:val="-3"/>
          <w:lang w:val="fr"/>
        </w:rPr>
        <w:t>.</w:t>
      </w:r>
      <w:r w:rsidRPr="1C83DAF5">
        <w:rPr>
          <w:spacing w:val="-3"/>
          <w:lang w:val="fr"/>
        </w:rPr>
        <w:t xml:space="preserve"> Baisse réelle du volume de 7,1 % </w:t>
      </w:r>
    </w:p>
    <w:p w14:paraId="0A517821" w14:textId="77777777" w:rsidR="00E10228" w:rsidRPr="00C76BD1" w:rsidRDefault="00E10228" w:rsidP="00E10228">
      <w:pPr>
        <w:pStyle w:val="ListParagraph"/>
        <w:numPr>
          <w:ilvl w:val="0"/>
          <w:numId w:val="6"/>
        </w:numPr>
        <w:tabs>
          <w:tab w:val="left" w:pos="4253"/>
        </w:tabs>
        <w:suppressAutoHyphens/>
        <w:spacing w:after="0" w:line="240" w:lineRule="auto"/>
        <w:ind w:left="284" w:hanging="284"/>
        <w:jc w:val="both"/>
        <w:rPr>
          <w:spacing w:val="-3"/>
        </w:rPr>
      </w:pPr>
      <w:r w:rsidRPr="1C83DAF5">
        <w:rPr>
          <w:spacing w:val="-3"/>
          <w:lang w:val="fr"/>
        </w:rPr>
        <w:t>Investissements : -15,8 % au premier semestre 2024 ; 41,6 millions d’euros</w:t>
      </w:r>
    </w:p>
    <w:p w14:paraId="727A51C4" w14:textId="77777777" w:rsidR="00E10228" w:rsidRPr="00C76BD1" w:rsidRDefault="00E10228" w:rsidP="00E10228">
      <w:pPr>
        <w:pStyle w:val="ListParagraph"/>
        <w:numPr>
          <w:ilvl w:val="0"/>
          <w:numId w:val="6"/>
        </w:numPr>
        <w:tabs>
          <w:tab w:val="left" w:pos="-828"/>
          <w:tab w:val="left" w:pos="4253"/>
        </w:tabs>
        <w:suppressAutoHyphens/>
        <w:spacing w:after="0" w:line="240" w:lineRule="auto"/>
        <w:ind w:left="284" w:hanging="284"/>
        <w:jc w:val="both"/>
        <w:rPr>
          <w:rFonts w:cstheme="minorHAnsi"/>
          <w:spacing w:val="-3"/>
        </w:rPr>
      </w:pPr>
      <w:r w:rsidRPr="00390228">
        <w:rPr>
          <w:rFonts w:cstheme="minorHAnsi"/>
          <w:spacing w:val="-3"/>
          <w:lang w:val="fr"/>
        </w:rPr>
        <w:t xml:space="preserve">Taux d’utilisation des capacités de production : 70,6 % </w:t>
      </w:r>
    </w:p>
    <w:p w14:paraId="599FCCDB" w14:textId="77777777" w:rsidR="00E10228" w:rsidRPr="00390228" w:rsidRDefault="00E10228" w:rsidP="00E10228">
      <w:pPr>
        <w:pStyle w:val="ListParagraph"/>
        <w:numPr>
          <w:ilvl w:val="0"/>
          <w:numId w:val="6"/>
        </w:numPr>
        <w:tabs>
          <w:tab w:val="left" w:pos="4253"/>
        </w:tabs>
        <w:suppressAutoHyphens/>
        <w:spacing w:after="0" w:line="240" w:lineRule="auto"/>
        <w:ind w:left="284" w:hanging="284"/>
        <w:jc w:val="both"/>
      </w:pPr>
      <w:r w:rsidRPr="1C83DAF5">
        <w:rPr>
          <w:spacing w:val="-3"/>
          <w:lang w:val="fr"/>
        </w:rPr>
        <w:t>Exportations : +0,4 % par rapport à la même période en 2023</w:t>
      </w:r>
      <w:r>
        <w:rPr>
          <w:spacing w:val="-3"/>
          <w:lang w:val="fr"/>
        </w:rPr>
        <w:t>.</w:t>
      </w:r>
      <w:r w:rsidRPr="1C83DAF5">
        <w:rPr>
          <w:spacing w:val="-3"/>
          <w:lang w:val="fr"/>
        </w:rPr>
        <w:t xml:space="preserve"> L’Allemagne supplante les Pays-Bas à la deuxième place des marchés, avec une forte hausse de 46,4 %. La France reste le plus grand marché</w:t>
      </w:r>
    </w:p>
    <w:p w14:paraId="6282C2C0" w14:textId="77777777" w:rsidR="00E10228" w:rsidRPr="00C76BD1" w:rsidRDefault="00E10228" w:rsidP="00E10228">
      <w:pPr>
        <w:pStyle w:val="ListParagraph"/>
        <w:numPr>
          <w:ilvl w:val="0"/>
          <w:numId w:val="6"/>
        </w:numPr>
        <w:tabs>
          <w:tab w:val="left" w:pos="4253"/>
        </w:tabs>
        <w:suppressAutoHyphens/>
        <w:spacing w:after="0" w:line="240" w:lineRule="auto"/>
        <w:ind w:left="284" w:hanging="284"/>
        <w:jc w:val="both"/>
      </w:pPr>
      <w:r w:rsidRPr="00390228">
        <w:rPr>
          <w:spacing w:val="-3"/>
          <w:lang w:val="fr"/>
        </w:rPr>
        <w:t>Importations : +1,1 % par rapport à la même période en 2023</w:t>
      </w:r>
    </w:p>
    <w:p w14:paraId="4D762DBF" w14:textId="77777777" w:rsidR="00E10228" w:rsidRPr="00C76BD1" w:rsidRDefault="00E10228" w:rsidP="00E10228">
      <w:pPr>
        <w:suppressAutoHyphens/>
        <w:autoSpaceDE w:val="0"/>
        <w:autoSpaceDN w:val="0"/>
        <w:adjustRightInd w:val="0"/>
        <w:spacing w:before="120" w:after="120" w:line="240" w:lineRule="auto"/>
        <w:contextualSpacing/>
        <w:textAlignment w:val="center"/>
        <w:rPr>
          <w:rFonts w:cstheme="minorHAnsi"/>
          <w:b/>
          <w:bCs/>
          <w:color w:val="000000"/>
        </w:rPr>
      </w:pPr>
    </w:p>
    <w:p w14:paraId="49C5C4BD" w14:textId="77777777" w:rsidR="00E10228" w:rsidRPr="00C76BD1" w:rsidRDefault="00E10228" w:rsidP="00E10228">
      <w:pPr>
        <w:pStyle w:val="BodyText"/>
        <w:rPr>
          <w:rFonts w:asciiTheme="minorHAnsi" w:hAnsiTheme="minorHAnsi" w:cstheme="minorBidi"/>
          <w:lang w:val="fr-BE"/>
        </w:rPr>
      </w:pPr>
      <w:r w:rsidRPr="1C83DAF5">
        <w:rPr>
          <w:rFonts w:asciiTheme="minorHAnsi" w:hAnsiTheme="minorHAnsi" w:cstheme="minorBidi"/>
          <w:color w:val="000000" w:themeColor="text1"/>
          <w:lang w:val="fr"/>
        </w:rPr>
        <w:t xml:space="preserve">Dans l’industrie du meuble, après une stabilisation en 2022 (-0,4 %), le chiffre d’affaires a baissé en 2023 de 7 % en valeur, atteignant 2,1 milliards d’euros. Le volume de production a diminué de 10,9 %, tandis que les prix à la production ont augmenté de 3,9 %. </w:t>
      </w:r>
      <w:r w:rsidRPr="1C83DAF5">
        <w:rPr>
          <w:rFonts w:asciiTheme="minorHAnsi" w:hAnsiTheme="minorHAnsi" w:cstheme="minorBidi"/>
          <w:lang w:val="fr"/>
        </w:rPr>
        <w:t xml:space="preserve">L’augmentation des prix de vente, en 2023, découle de la répercussion partielle de coûts plus élevés des matières premières, des matériaux, de l’énergie et de la main-d’œuvre. </w:t>
      </w:r>
    </w:p>
    <w:p w14:paraId="27EDA7E6" w14:textId="77777777" w:rsidR="00E10228" w:rsidRDefault="00E10228" w:rsidP="00E10228">
      <w:pPr>
        <w:spacing w:before="120" w:after="120" w:line="240" w:lineRule="auto"/>
        <w:jc w:val="both"/>
        <w:rPr>
          <w:color w:val="000000" w:themeColor="text1"/>
          <w:lang w:val="fr"/>
        </w:rPr>
      </w:pPr>
      <w:r w:rsidRPr="1C83DAF5">
        <w:rPr>
          <w:color w:val="000000" w:themeColor="text1"/>
          <w:lang w:val="fr"/>
        </w:rPr>
        <w:lastRenderedPageBreak/>
        <w:t xml:space="preserve">Les meubles de cuisine sont le seul groupe de produits qui a pu maintenir son chiffre d’affaires en 2023 (+0,8 % en valeur) ; ce, par une hausse de 8,6 % des prix de vente. Le volume de production a diminué de 7,8 %.  Tous les autres groupes de produits de l’industrie du meuble ont connu une baisse de chiffre d’affaires, en valeur comme en volume.  Pour le mobilier d’intérieur, cette baisse a atteint 5,5 % en valeur et 11,0 % en volume. Les meubles de bureau et de </w:t>
      </w:r>
      <w:r>
        <w:rPr>
          <w:color w:val="000000" w:themeColor="text1"/>
          <w:lang w:val="fr"/>
        </w:rPr>
        <w:t>magasin</w:t>
      </w:r>
      <w:r w:rsidRPr="1C83DAF5">
        <w:rPr>
          <w:color w:val="000000" w:themeColor="text1"/>
          <w:lang w:val="fr"/>
        </w:rPr>
        <w:t xml:space="preserve"> (-14,6 % en valeur et -15,8 % en volume) et les matelas et sommiers (-11,7 % en valeur et -13,8 % en volume) ont vu leurs chiffres d’affaires fortement chuter, tant en valeur qu’en volume.  </w:t>
      </w:r>
    </w:p>
    <w:p w14:paraId="1D92D7A2" w14:textId="77777777" w:rsidR="00E10228" w:rsidRPr="00C76BD1" w:rsidRDefault="00E10228" w:rsidP="00E10228">
      <w:pPr>
        <w:autoSpaceDE w:val="0"/>
        <w:autoSpaceDN w:val="0"/>
        <w:adjustRightInd w:val="0"/>
        <w:spacing w:before="120" w:after="120" w:line="240" w:lineRule="auto"/>
        <w:contextualSpacing/>
        <w:jc w:val="both"/>
        <w:textAlignment w:val="center"/>
        <w:rPr>
          <w:rFonts w:cstheme="minorHAnsi"/>
        </w:rPr>
      </w:pPr>
      <w:r w:rsidRPr="006774A6">
        <w:rPr>
          <w:rFonts w:cstheme="minorHAnsi"/>
          <w:lang w:val="fr"/>
        </w:rPr>
        <w:t xml:space="preserve">Du fait notamment de la faible activité dans le secteur de la construction, la demande reste basse, avec une situation comparable sur le marché de l’exportation. </w:t>
      </w:r>
    </w:p>
    <w:p w14:paraId="2567219E" w14:textId="77777777" w:rsidR="00E10228" w:rsidRPr="00C76BD1" w:rsidRDefault="00E10228" w:rsidP="00E10228">
      <w:pPr>
        <w:autoSpaceDE w:val="0"/>
        <w:autoSpaceDN w:val="0"/>
        <w:adjustRightInd w:val="0"/>
        <w:spacing w:before="120" w:after="120" w:line="240" w:lineRule="auto"/>
        <w:contextualSpacing/>
        <w:jc w:val="both"/>
        <w:textAlignment w:val="center"/>
        <w:rPr>
          <w:rFonts w:cstheme="minorHAnsi"/>
        </w:rPr>
      </w:pPr>
    </w:p>
    <w:p w14:paraId="008173FB" w14:textId="77777777" w:rsidR="00E10228" w:rsidRPr="00C76BD1" w:rsidRDefault="00E10228" w:rsidP="00E10228">
      <w:pPr>
        <w:autoSpaceDE w:val="0"/>
        <w:autoSpaceDN w:val="0"/>
        <w:adjustRightInd w:val="0"/>
        <w:spacing w:before="120" w:after="120" w:line="240" w:lineRule="auto"/>
        <w:contextualSpacing/>
        <w:jc w:val="both"/>
        <w:textAlignment w:val="center"/>
      </w:pPr>
      <w:r w:rsidRPr="1C83DAF5">
        <w:rPr>
          <w:lang w:val="fr"/>
        </w:rPr>
        <w:t xml:space="preserve">Durant le premier semestre 2024, le chiffre d’affaires a poursuivi sa diminution, reculant de 7,8 % en valeur et de 7,1 % en volume.  Concernant l’ensemble des groupes de produits, les chiffres d’affaires ont baissé aussi bien en valeur qu’en volume.  </w:t>
      </w:r>
    </w:p>
    <w:p w14:paraId="014B25E6" w14:textId="77777777" w:rsidR="00E10228" w:rsidRPr="00C76BD1" w:rsidRDefault="00E10228" w:rsidP="00E10228">
      <w:pPr>
        <w:spacing w:before="120" w:after="120" w:line="240" w:lineRule="auto"/>
        <w:contextualSpacing/>
        <w:jc w:val="both"/>
      </w:pPr>
    </w:p>
    <w:p w14:paraId="3AF9A77F" w14:textId="77777777" w:rsidR="00E10228" w:rsidRPr="00C76BD1" w:rsidRDefault="00E10228" w:rsidP="00E10228">
      <w:pPr>
        <w:suppressAutoHyphens/>
        <w:autoSpaceDE w:val="0"/>
        <w:autoSpaceDN w:val="0"/>
        <w:adjustRightInd w:val="0"/>
        <w:spacing w:before="120" w:after="120" w:line="240" w:lineRule="auto"/>
        <w:contextualSpacing/>
        <w:jc w:val="center"/>
        <w:textAlignment w:val="center"/>
        <w:rPr>
          <w:rFonts w:cstheme="minorHAnsi"/>
          <w:b/>
          <w:bCs/>
          <w:color w:val="000000"/>
        </w:rPr>
      </w:pPr>
      <w:r w:rsidRPr="00556AD4">
        <w:rPr>
          <w:rFonts w:cstheme="minorHAnsi"/>
          <w:b/>
          <w:bCs/>
          <w:color w:val="000000"/>
          <w:lang w:val="fr"/>
        </w:rPr>
        <w:t>ÉVOLUTION DU CHIFFRE D’AFFAIRES PAR GROUPE DE PRODUIT</w:t>
      </w:r>
      <w:r>
        <w:rPr>
          <w:rFonts w:cstheme="minorHAnsi"/>
          <w:b/>
          <w:bCs/>
          <w:color w:val="000000"/>
          <w:lang w:val="fr"/>
        </w:rPr>
        <w:t>S</w:t>
      </w:r>
    </w:p>
    <w:p w14:paraId="169B884B" w14:textId="77777777" w:rsidR="00E10228" w:rsidRPr="00C76BD1" w:rsidRDefault="00E10228" w:rsidP="00E10228">
      <w:pPr>
        <w:suppressAutoHyphens/>
        <w:autoSpaceDE w:val="0"/>
        <w:autoSpaceDN w:val="0"/>
        <w:adjustRightInd w:val="0"/>
        <w:spacing w:before="120" w:after="120" w:line="240" w:lineRule="auto"/>
        <w:contextualSpacing/>
        <w:jc w:val="center"/>
        <w:textAlignment w:val="center"/>
        <w:rPr>
          <w:rFonts w:cstheme="minorHAnsi"/>
          <w:b/>
          <w:bCs/>
          <w:color w:val="000000"/>
        </w:rPr>
      </w:pPr>
    </w:p>
    <w:tbl>
      <w:tblPr>
        <w:tblW w:w="10915" w:type="dxa"/>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9"/>
        <w:gridCol w:w="1133"/>
        <w:gridCol w:w="1275"/>
        <w:gridCol w:w="1276"/>
        <w:gridCol w:w="1134"/>
        <w:gridCol w:w="1134"/>
        <w:gridCol w:w="1134"/>
      </w:tblGrid>
      <w:tr w:rsidR="00E10228" w14:paraId="1CC8BA6F" w14:textId="77777777" w:rsidTr="00CF7FFA">
        <w:tc>
          <w:tcPr>
            <w:tcW w:w="3829" w:type="dxa"/>
            <w:vMerge w:val="restart"/>
            <w:tcMar>
              <w:top w:w="91" w:type="dxa"/>
              <w:left w:w="91" w:type="dxa"/>
              <w:bottom w:w="91" w:type="dxa"/>
              <w:right w:w="91" w:type="dxa"/>
            </w:tcMar>
            <w:vAlign w:val="center"/>
          </w:tcPr>
          <w:p w14:paraId="67C8659B" w14:textId="77777777" w:rsidR="00E10228" w:rsidRPr="00C76BD1" w:rsidRDefault="00E10228" w:rsidP="00CF7FFA">
            <w:pPr>
              <w:suppressAutoHyphens/>
              <w:autoSpaceDE w:val="0"/>
              <w:autoSpaceDN w:val="0"/>
              <w:adjustRightInd w:val="0"/>
              <w:spacing w:after="0" w:line="240" w:lineRule="auto"/>
              <w:jc w:val="center"/>
              <w:textAlignment w:val="center"/>
              <w:rPr>
                <w:rFonts w:cstheme="minorHAnsi"/>
                <w:b/>
                <w:bCs/>
              </w:rPr>
            </w:pPr>
          </w:p>
        </w:tc>
        <w:tc>
          <w:tcPr>
            <w:tcW w:w="1133" w:type="dxa"/>
            <w:vAlign w:val="center"/>
          </w:tcPr>
          <w:p w14:paraId="0DEEECA3" w14:textId="77777777" w:rsidR="00E10228" w:rsidRDefault="00E10228" w:rsidP="00CF7FFA">
            <w:pPr>
              <w:suppressAutoHyphens/>
              <w:autoSpaceDE w:val="0"/>
              <w:autoSpaceDN w:val="0"/>
              <w:adjustRightInd w:val="0"/>
              <w:spacing w:after="0" w:line="240" w:lineRule="auto"/>
              <w:jc w:val="center"/>
              <w:textAlignment w:val="center"/>
              <w:rPr>
                <w:rFonts w:cstheme="minorHAnsi"/>
                <w:b/>
                <w:bCs/>
                <w:lang w:val="en-US"/>
              </w:rPr>
            </w:pPr>
            <w:r>
              <w:rPr>
                <w:rFonts w:cstheme="minorHAnsi"/>
                <w:b/>
                <w:bCs/>
                <w:lang w:val="fr"/>
              </w:rPr>
              <w:t>En million d’euros</w:t>
            </w:r>
          </w:p>
        </w:tc>
        <w:tc>
          <w:tcPr>
            <w:tcW w:w="1275" w:type="dxa"/>
            <w:vAlign w:val="center"/>
          </w:tcPr>
          <w:p w14:paraId="21F8F053" w14:textId="77777777" w:rsidR="00E10228" w:rsidRDefault="00E10228" w:rsidP="00CF7FFA">
            <w:pPr>
              <w:suppressAutoHyphens/>
              <w:autoSpaceDE w:val="0"/>
              <w:autoSpaceDN w:val="0"/>
              <w:adjustRightInd w:val="0"/>
              <w:spacing w:after="0" w:line="240" w:lineRule="auto"/>
              <w:jc w:val="center"/>
              <w:textAlignment w:val="center"/>
              <w:rPr>
                <w:rFonts w:cstheme="minorHAnsi"/>
                <w:b/>
                <w:bCs/>
                <w:lang w:val="en-US"/>
              </w:rPr>
            </w:pPr>
            <w:r>
              <w:rPr>
                <w:rFonts w:cstheme="minorHAnsi"/>
                <w:b/>
                <w:bCs/>
                <w:lang w:val="fr"/>
              </w:rPr>
              <w:t>Évolution en valeur</w:t>
            </w:r>
          </w:p>
        </w:tc>
        <w:tc>
          <w:tcPr>
            <w:tcW w:w="1276" w:type="dxa"/>
            <w:vAlign w:val="center"/>
          </w:tcPr>
          <w:p w14:paraId="66286216" w14:textId="77777777" w:rsidR="00E10228" w:rsidRDefault="00E10228" w:rsidP="00CF7FFA">
            <w:pPr>
              <w:suppressAutoHyphens/>
              <w:autoSpaceDE w:val="0"/>
              <w:autoSpaceDN w:val="0"/>
              <w:adjustRightInd w:val="0"/>
              <w:spacing w:after="0" w:line="240" w:lineRule="auto"/>
              <w:jc w:val="center"/>
              <w:textAlignment w:val="center"/>
              <w:rPr>
                <w:rFonts w:cstheme="minorHAnsi"/>
                <w:b/>
                <w:bCs/>
                <w:lang w:val="en-US"/>
              </w:rPr>
            </w:pPr>
            <w:r>
              <w:rPr>
                <w:rFonts w:cstheme="minorHAnsi"/>
                <w:b/>
                <w:bCs/>
                <w:lang w:val="fr"/>
              </w:rPr>
              <w:t>Évolution en volume</w:t>
            </w:r>
          </w:p>
        </w:tc>
        <w:tc>
          <w:tcPr>
            <w:tcW w:w="1134" w:type="dxa"/>
            <w:vAlign w:val="center"/>
          </w:tcPr>
          <w:p w14:paraId="3647E033" w14:textId="77777777" w:rsidR="00E10228" w:rsidRDefault="00E10228" w:rsidP="00CF7FFA">
            <w:pPr>
              <w:suppressAutoHyphens/>
              <w:autoSpaceDE w:val="0"/>
              <w:autoSpaceDN w:val="0"/>
              <w:adjustRightInd w:val="0"/>
              <w:spacing w:after="0" w:line="240" w:lineRule="auto"/>
              <w:jc w:val="center"/>
              <w:textAlignment w:val="center"/>
              <w:rPr>
                <w:rFonts w:cstheme="minorHAnsi"/>
                <w:b/>
                <w:bCs/>
                <w:lang w:val="en-US"/>
              </w:rPr>
            </w:pPr>
            <w:r>
              <w:rPr>
                <w:rFonts w:cstheme="minorHAnsi"/>
                <w:b/>
                <w:bCs/>
                <w:lang w:val="fr"/>
              </w:rPr>
              <w:t>En million d’euros</w:t>
            </w:r>
          </w:p>
        </w:tc>
        <w:tc>
          <w:tcPr>
            <w:tcW w:w="1134" w:type="dxa"/>
            <w:vAlign w:val="center"/>
          </w:tcPr>
          <w:p w14:paraId="7E70E82E" w14:textId="77777777" w:rsidR="00E10228" w:rsidRDefault="00E10228" w:rsidP="00CF7FFA">
            <w:pPr>
              <w:suppressAutoHyphens/>
              <w:autoSpaceDE w:val="0"/>
              <w:autoSpaceDN w:val="0"/>
              <w:adjustRightInd w:val="0"/>
              <w:spacing w:after="0" w:line="240" w:lineRule="auto"/>
              <w:jc w:val="center"/>
              <w:textAlignment w:val="center"/>
              <w:rPr>
                <w:rFonts w:cstheme="minorHAnsi"/>
                <w:b/>
                <w:bCs/>
                <w:lang w:val="en-US"/>
              </w:rPr>
            </w:pPr>
            <w:r>
              <w:rPr>
                <w:rFonts w:cstheme="minorHAnsi"/>
                <w:b/>
                <w:bCs/>
                <w:lang w:val="fr"/>
              </w:rPr>
              <w:t>Évolution en valeur</w:t>
            </w:r>
          </w:p>
        </w:tc>
        <w:tc>
          <w:tcPr>
            <w:tcW w:w="1134" w:type="dxa"/>
            <w:vAlign w:val="center"/>
          </w:tcPr>
          <w:p w14:paraId="4C881CE1" w14:textId="77777777" w:rsidR="00E10228" w:rsidRDefault="00E10228" w:rsidP="00CF7FFA">
            <w:pPr>
              <w:suppressAutoHyphens/>
              <w:autoSpaceDE w:val="0"/>
              <w:autoSpaceDN w:val="0"/>
              <w:adjustRightInd w:val="0"/>
              <w:spacing w:after="0" w:line="240" w:lineRule="auto"/>
              <w:jc w:val="center"/>
              <w:textAlignment w:val="center"/>
              <w:rPr>
                <w:rFonts w:cstheme="minorHAnsi"/>
                <w:b/>
                <w:bCs/>
                <w:lang w:val="en-US"/>
              </w:rPr>
            </w:pPr>
            <w:r>
              <w:rPr>
                <w:rFonts w:cstheme="minorHAnsi"/>
                <w:b/>
                <w:bCs/>
                <w:lang w:val="fr"/>
              </w:rPr>
              <w:t>Évolution en volume</w:t>
            </w:r>
          </w:p>
        </w:tc>
      </w:tr>
      <w:tr w:rsidR="00E10228" w14:paraId="3D780ADD" w14:textId="77777777" w:rsidTr="00CF7FFA">
        <w:tc>
          <w:tcPr>
            <w:tcW w:w="3829" w:type="dxa"/>
            <w:vMerge/>
            <w:tcMar>
              <w:top w:w="91" w:type="dxa"/>
              <w:left w:w="91" w:type="dxa"/>
              <w:bottom w:w="91" w:type="dxa"/>
              <w:right w:w="91" w:type="dxa"/>
            </w:tcMar>
            <w:vAlign w:val="center"/>
          </w:tcPr>
          <w:p w14:paraId="5BA4EDDE" w14:textId="77777777" w:rsidR="00E10228" w:rsidRPr="002C5C92" w:rsidRDefault="00E10228" w:rsidP="00CF7FFA">
            <w:pPr>
              <w:suppressAutoHyphens/>
              <w:autoSpaceDE w:val="0"/>
              <w:autoSpaceDN w:val="0"/>
              <w:adjustRightInd w:val="0"/>
              <w:spacing w:after="0" w:line="240" w:lineRule="auto"/>
              <w:jc w:val="center"/>
              <w:textAlignment w:val="center"/>
              <w:rPr>
                <w:rFonts w:cstheme="minorHAnsi"/>
                <w:b/>
                <w:bCs/>
                <w:lang w:val="nl-NL"/>
              </w:rPr>
            </w:pPr>
          </w:p>
        </w:tc>
        <w:tc>
          <w:tcPr>
            <w:tcW w:w="1133" w:type="dxa"/>
            <w:vAlign w:val="center"/>
          </w:tcPr>
          <w:p w14:paraId="61464AAB" w14:textId="77777777" w:rsidR="00E10228" w:rsidRDefault="00E10228" w:rsidP="00CF7FFA">
            <w:pPr>
              <w:suppressAutoHyphens/>
              <w:autoSpaceDE w:val="0"/>
              <w:autoSpaceDN w:val="0"/>
              <w:adjustRightInd w:val="0"/>
              <w:spacing w:after="0" w:line="240" w:lineRule="auto"/>
              <w:jc w:val="center"/>
              <w:textAlignment w:val="center"/>
              <w:rPr>
                <w:rFonts w:cstheme="minorHAnsi"/>
                <w:b/>
                <w:bCs/>
                <w:lang w:val="en-US"/>
              </w:rPr>
            </w:pPr>
            <w:r w:rsidRPr="002C5C92">
              <w:rPr>
                <w:rFonts w:cstheme="minorHAnsi"/>
                <w:b/>
                <w:bCs/>
                <w:lang w:val="fr"/>
              </w:rPr>
              <w:t xml:space="preserve">2023 </w:t>
            </w:r>
          </w:p>
        </w:tc>
        <w:tc>
          <w:tcPr>
            <w:tcW w:w="1275" w:type="dxa"/>
            <w:vAlign w:val="center"/>
          </w:tcPr>
          <w:p w14:paraId="60AB66F9" w14:textId="77777777" w:rsidR="00E10228" w:rsidRDefault="00E10228" w:rsidP="00CF7FFA">
            <w:pPr>
              <w:suppressAutoHyphens/>
              <w:autoSpaceDE w:val="0"/>
              <w:autoSpaceDN w:val="0"/>
              <w:adjustRightInd w:val="0"/>
              <w:spacing w:after="0" w:line="240" w:lineRule="auto"/>
              <w:jc w:val="center"/>
              <w:textAlignment w:val="center"/>
              <w:rPr>
                <w:rFonts w:cstheme="minorHAnsi"/>
                <w:b/>
                <w:bCs/>
                <w:lang w:val="en-US"/>
              </w:rPr>
            </w:pPr>
            <w:r>
              <w:rPr>
                <w:rFonts w:cstheme="minorHAnsi"/>
                <w:b/>
                <w:bCs/>
                <w:lang w:val="fr"/>
              </w:rPr>
              <w:t xml:space="preserve">‘23/’22 </w:t>
            </w:r>
          </w:p>
        </w:tc>
        <w:tc>
          <w:tcPr>
            <w:tcW w:w="1276" w:type="dxa"/>
            <w:vAlign w:val="center"/>
          </w:tcPr>
          <w:p w14:paraId="2A9A4B08" w14:textId="77777777" w:rsidR="00E10228" w:rsidRDefault="00E10228" w:rsidP="00CF7FFA">
            <w:pPr>
              <w:suppressAutoHyphens/>
              <w:autoSpaceDE w:val="0"/>
              <w:autoSpaceDN w:val="0"/>
              <w:adjustRightInd w:val="0"/>
              <w:spacing w:after="0" w:line="240" w:lineRule="auto"/>
              <w:jc w:val="center"/>
              <w:textAlignment w:val="center"/>
              <w:rPr>
                <w:rFonts w:cstheme="minorHAnsi"/>
                <w:b/>
                <w:bCs/>
                <w:lang w:val="en-US"/>
              </w:rPr>
            </w:pPr>
            <w:r>
              <w:rPr>
                <w:rFonts w:cstheme="minorHAnsi"/>
                <w:b/>
                <w:bCs/>
                <w:lang w:val="fr"/>
              </w:rPr>
              <w:t xml:space="preserve">‘23/’22 </w:t>
            </w:r>
          </w:p>
        </w:tc>
        <w:tc>
          <w:tcPr>
            <w:tcW w:w="1134" w:type="dxa"/>
            <w:vAlign w:val="center"/>
          </w:tcPr>
          <w:p w14:paraId="7C3D2CF2" w14:textId="77777777" w:rsidR="00E10228" w:rsidRDefault="00E10228" w:rsidP="00CF7FFA">
            <w:pPr>
              <w:suppressAutoHyphens/>
              <w:autoSpaceDE w:val="0"/>
              <w:autoSpaceDN w:val="0"/>
              <w:adjustRightInd w:val="0"/>
              <w:spacing w:after="0" w:line="240" w:lineRule="auto"/>
              <w:jc w:val="center"/>
              <w:textAlignment w:val="center"/>
              <w:rPr>
                <w:rFonts w:cstheme="minorHAnsi"/>
                <w:b/>
                <w:bCs/>
                <w:lang w:val="en-US"/>
              </w:rPr>
            </w:pPr>
            <w:r>
              <w:rPr>
                <w:rFonts w:cstheme="minorHAnsi"/>
                <w:b/>
                <w:bCs/>
                <w:lang w:val="fr"/>
              </w:rPr>
              <w:t>1</w:t>
            </w:r>
            <w:r w:rsidRPr="00542DEC">
              <w:rPr>
                <w:rFonts w:cstheme="minorHAnsi"/>
                <w:b/>
                <w:bCs/>
                <w:vertAlign w:val="superscript"/>
                <w:lang w:val="fr"/>
              </w:rPr>
              <w:t>er</w:t>
            </w:r>
            <w:r>
              <w:rPr>
                <w:rFonts w:cstheme="minorHAnsi"/>
                <w:b/>
                <w:bCs/>
                <w:lang w:val="fr"/>
              </w:rPr>
              <w:t xml:space="preserve"> sem. 2024*</w:t>
            </w:r>
          </w:p>
        </w:tc>
        <w:tc>
          <w:tcPr>
            <w:tcW w:w="1134" w:type="dxa"/>
            <w:vAlign w:val="center"/>
          </w:tcPr>
          <w:p w14:paraId="51F24536" w14:textId="77777777" w:rsidR="00E10228" w:rsidRDefault="00E10228" w:rsidP="00CF7FFA">
            <w:pPr>
              <w:suppressAutoHyphens/>
              <w:autoSpaceDE w:val="0"/>
              <w:autoSpaceDN w:val="0"/>
              <w:adjustRightInd w:val="0"/>
              <w:spacing w:after="0" w:line="240" w:lineRule="auto"/>
              <w:jc w:val="center"/>
              <w:textAlignment w:val="center"/>
              <w:rPr>
                <w:rFonts w:cstheme="minorHAnsi"/>
                <w:b/>
                <w:bCs/>
                <w:lang w:val="en-US"/>
              </w:rPr>
            </w:pPr>
            <w:r>
              <w:rPr>
                <w:rFonts w:cstheme="minorHAnsi"/>
                <w:b/>
                <w:bCs/>
                <w:lang w:val="fr"/>
              </w:rPr>
              <w:t>1</w:t>
            </w:r>
            <w:r w:rsidRPr="00542DEC">
              <w:rPr>
                <w:rFonts w:cstheme="minorHAnsi"/>
                <w:b/>
                <w:bCs/>
                <w:vertAlign w:val="superscript"/>
                <w:lang w:val="fr"/>
              </w:rPr>
              <w:t>ers</w:t>
            </w:r>
            <w:r>
              <w:rPr>
                <w:rFonts w:cstheme="minorHAnsi"/>
                <w:b/>
                <w:bCs/>
                <w:lang w:val="fr"/>
              </w:rPr>
              <w:t xml:space="preserve"> sem. ‘24/’23*</w:t>
            </w:r>
          </w:p>
        </w:tc>
        <w:tc>
          <w:tcPr>
            <w:tcW w:w="1134" w:type="dxa"/>
            <w:vAlign w:val="center"/>
          </w:tcPr>
          <w:p w14:paraId="565607DA" w14:textId="77777777" w:rsidR="00E10228" w:rsidRDefault="00E10228" w:rsidP="00CF7FFA">
            <w:pPr>
              <w:suppressAutoHyphens/>
              <w:autoSpaceDE w:val="0"/>
              <w:autoSpaceDN w:val="0"/>
              <w:adjustRightInd w:val="0"/>
              <w:spacing w:after="0" w:line="240" w:lineRule="auto"/>
              <w:jc w:val="center"/>
              <w:textAlignment w:val="center"/>
              <w:rPr>
                <w:rFonts w:cstheme="minorHAnsi"/>
                <w:b/>
                <w:bCs/>
                <w:lang w:val="en-US"/>
              </w:rPr>
            </w:pPr>
            <w:r>
              <w:rPr>
                <w:rFonts w:cstheme="minorHAnsi"/>
                <w:b/>
                <w:bCs/>
                <w:lang w:val="fr"/>
              </w:rPr>
              <w:t>1</w:t>
            </w:r>
            <w:r w:rsidRPr="00542DEC">
              <w:rPr>
                <w:rFonts w:cstheme="minorHAnsi"/>
                <w:b/>
                <w:bCs/>
                <w:vertAlign w:val="superscript"/>
                <w:lang w:val="fr"/>
              </w:rPr>
              <w:t>ers</w:t>
            </w:r>
            <w:r>
              <w:rPr>
                <w:rFonts w:cstheme="minorHAnsi"/>
                <w:b/>
                <w:bCs/>
                <w:lang w:val="fr"/>
              </w:rPr>
              <w:t xml:space="preserve"> sem. ‘24/’23*</w:t>
            </w:r>
          </w:p>
        </w:tc>
      </w:tr>
      <w:tr w:rsidR="00E10228" w14:paraId="7D2B8208" w14:textId="77777777" w:rsidTr="00CF7FFA">
        <w:tc>
          <w:tcPr>
            <w:tcW w:w="3829" w:type="dxa"/>
            <w:tcMar>
              <w:top w:w="113" w:type="dxa"/>
              <w:left w:w="91" w:type="dxa"/>
              <w:bottom w:w="113" w:type="dxa"/>
              <w:right w:w="91" w:type="dxa"/>
            </w:tcMar>
            <w:vAlign w:val="center"/>
          </w:tcPr>
          <w:p w14:paraId="4145A3DD" w14:textId="77777777" w:rsidR="00E10228" w:rsidRPr="00C76BD1" w:rsidRDefault="00E10228" w:rsidP="00CF7FFA">
            <w:pPr>
              <w:suppressAutoHyphens/>
              <w:autoSpaceDE w:val="0"/>
              <w:autoSpaceDN w:val="0"/>
              <w:adjustRightInd w:val="0"/>
              <w:spacing w:after="0" w:line="240" w:lineRule="auto"/>
              <w:textAlignment w:val="center"/>
              <w:rPr>
                <w:rFonts w:cstheme="minorHAnsi"/>
              </w:rPr>
            </w:pPr>
            <w:r w:rsidRPr="00B955A0">
              <w:rPr>
                <w:rFonts w:cstheme="minorHAnsi"/>
                <w:lang w:val="fr"/>
              </w:rPr>
              <w:t>Chaises et sièges, meuble</w:t>
            </w:r>
            <w:r>
              <w:rPr>
                <w:rFonts w:cstheme="minorHAnsi"/>
                <w:lang w:val="fr"/>
              </w:rPr>
              <w:t>s</w:t>
            </w:r>
            <w:r w:rsidRPr="00B955A0">
              <w:rPr>
                <w:rFonts w:cstheme="minorHAnsi"/>
                <w:lang w:val="fr"/>
              </w:rPr>
              <w:t xml:space="preserve"> de salle à manger, de séjour, de chambre à coucher, de jardin et de terrasse </w:t>
            </w:r>
          </w:p>
        </w:tc>
        <w:tc>
          <w:tcPr>
            <w:tcW w:w="1133" w:type="dxa"/>
            <w:vAlign w:val="center"/>
          </w:tcPr>
          <w:p w14:paraId="27AC3E7C" w14:textId="77777777" w:rsidR="00E10228" w:rsidRPr="00B955A0" w:rsidRDefault="00E10228" w:rsidP="00CF7FFA">
            <w:pPr>
              <w:suppressAutoHyphens/>
              <w:autoSpaceDE w:val="0"/>
              <w:autoSpaceDN w:val="0"/>
              <w:adjustRightInd w:val="0"/>
              <w:spacing w:after="0" w:line="240" w:lineRule="auto"/>
              <w:ind w:right="181"/>
              <w:jc w:val="center"/>
              <w:textAlignment w:val="center"/>
              <w:rPr>
                <w:rFonts w:cstheme="minorHAnsi"/>
                <w:lang w:val="fr-FR"/>
              </w:rPr>
            </w:pPr>
            <w:r w:rsidRPr="00B955A0">
              <w:rPr>
                <w:rFonts w:cstheme="minorHAnsi"/>
                <w:lang w:val="fr"/>
              </w:rPr>
              <w:t>878,4</w:t>
            </w:r>
          </w:p>
        </w:tc>
        <w:tc>
          <w:tcPr>
            <w:tcW w:w="1275" w:type="dxa"/>
            <w:vAlign w:val="center"/>
          </w:tcPr>
          <w:p w14:paraId="15E5F5CA" w14:textId="77777777" w:rsidR="00E10228" w:rsidRPr="00B955A0" w:rsidRDefault="00E10228" w:rsidP="00CF7FFA">
            <w:pPr>
              <w:suppressAutoHyphens/>
              <w:autoSpaceDE w:val="0"/>
              <w:autoSpaceDN w:val="0"/>
              <w:adjustRightInd w:val="0"/>
              <w:spacing w:after="0" w:line="240" w:lineRule="auto"/>
              <w:ind w:right="181"/>
              <w:jc w:val="center"/>
              <w:textAlignment w:val="center"/>
              <w:rPr>
                <w:rFonts w:cstheme="minorHAnsi"/>
                <w:lang w:val="fr-FR"/>
              </w:rPr>
            </w:pPr>
            <w:r w:rsidRPr="00B955A0">
              <w:rPr>
                <w:rFonts w:cstheme="minorHAnsi"/>
                <w:lang w:val="fr"/>
              </w:rPr>
              <w:t>-5,5 %</w:t>
            </w:r>
          </w:p>
        </w:tc>
        <w:tc>
          <w:tcPr>
            <w:tcW w:w="1276" w:type="dxa"/>
            <w:vAlign w:val="center"/>
          </w:tcPr>
          <w:p w14:paraId="3212F896" w14:textId="77777777" w:rsidR="00E10228" w:rsidRPr="00B955A0" w:rsidRDefault="00E10228" w:rsidP="00CF7FFA">
            <w:pPr>
              <w:suppressAutoHyphens/>
              <w:autoSpaceDE w:val="0"/>
              <w:autoSpaceDN w:val="0"/>
              <w:adjustRightInd w:val="0"/>
              <w:spacing w:after="0" w:line="240" w:lineRule="auto"/>
              <w:ind w:right="181"/>
              <w:jc w:val="center"/>
              <w:textAlignment w:val="center"/>
              <w:rPr>
                <w:rFonts w:cstheme="minorHAnsi"/>
                <w:lang w:val="fr-FR"/>
              </w:rPr>
            </w:pPr>
            <w:r w:rsidRPr="00B955A0">
              <w:rPr>
                <w:rFonts w:cstheme="minorHAnsi"/>
                <w:lang w:val="fr"/>
              </w:rPr>
              <w:t>-11,0 %</w:t>
            </w:r>
          </w:p>
        </w:tc>
        <w:tc>
          <w:tcPr>
            <w:tcW w:w="1134" w:type="dxa"/>
            <w:vAlign w:val="center"/>
          </w:tcPr>
          <w:p w14:paraId="1CD760CB" w14:textId="77777777" w:rsidR="00E10228" w:rsidRPr="00B955A0" w:rsidRDefault="00E10228" w:rsidP="00CF7FFA">
            <w:pPr>
              <w:suppressAutoHyphens/>
              <w:autoSpaceDE w:val="0"/>
              <w:autoSpaceDN w:val="0"/>
              <w:adjustRightInd w:val="0"/>
              <w:spacing w:after="0" w:line="240" w:lineRule="auto"/>
              <w:ind w:right="181"/>
              <w:jc w:val="center"/>
              <w:textAlignment w:val="center"/>
              <w:rPr>
                <w:rFonts w:cstheme="minorHAnsi"/>
                <w:lang w:val="fr-FR"/>
              </w:rPr>
            </w:pPr>
            <w:r>
              <w:rPr>
                <w:rFonts w:cstheme="minorHAnsi"/>
                <w:lang w:val="fr"/>
              </w:rPr>
              <w:t>440,0</w:t>
            </w:r>
          </w:p>
        </w:tc>
        <w:tc>
          <w:tcPr>
            <w:tcW w:w="1134" w:type="dxa"/>
            <w:vAlign w:val="center"/>
          </w:tcPr>
          <w:p w14:paraId="0DA91E78" w14:textId="77777777" w:rsidR="00E10228" w:rsidRPr="00B955A0" w:rsidRDefault="00E10228" w:rsidP="00CF7FFA">
            <w:pPr>
              <w:suppressAutoHyphens/>
              <w:autoSpaceDE w:val="0"/>
              <w:autoSpaceDN w:val="0"/>
              <w:adjustRightInd w:val="0"/>
              <w:spacing w:after="0" w:line="240" w:lineRule="auto"/>
              <w:ind w:right="181"/>
              <w:jc w:val="center"/>
              <w:textAlignment w:val="center"/>
              <w:rPr>
                <w:rFonts w:cstheme="minorHAnsi"/>
                <w:lang w:val="fr-FR"/>
              </w:rPr>
            </w:pPr>
            <w:r>
              <w:rPr>
                <w:rFonts w:cstheme="minorHAnsi"/>
                <w:lang w:val="fr"/>
              </w:rPr>
              <w:t>-4,5 %</w:t>
            </w:r>
          </w:p>
        </w:tc>
        <w:tc>
          <w:tcPr>
            <w:tcW w:w="1134" w:type="dxa"/>
            <w:vAlign w:val="center"/>
          </w:tcPr>
          <w:p w14:paraId="2C02A974" w14:textId="77777777" w:rsidR="00E10228" w:rsidRPr="00B955A0" w:rsidRDefault="00E10228" w:rsidP="00CF7FFA">
            <w:pPr>
              <w:suppressAutoHyphens/>
              <w:autoSpaceDE w:val="0"/>
              <w:autoSpaceDN w:val="0"/>
              <w:adjustRightInd w:val="0"/>
              <w:spacing w:after="0" w:line="240" w:lineRule="auto"/>
              <w:ind w:right="181"/>
              <w:jc w:val="center"/>
              <w:textAlignment w:val="center"/>
              <w:rPr>
                <w:lang w:val="fr-FR"/>
              </w:rPr>
            </w:pPr>
            <w:r w:rsidRPr="1C83DAF5">
              <w:rPr>
                <w:lang w:val="fr"/>
              </w:rPr>
              <w:t>-6,9 %</w:t>
            </w:r>
          </w:p>
        </w:tc>
      </w:tr>
      <w:tr w:rsidR="00E10228" w14:paraId="03142036" w14:textId="77777777" w:rsidTr="00CF7FFA">
        <w:tc>
          <w:tcPr>
            <w:tcW w:w="3829" w:type="dxa"/>
            <w:tcMar>
              <w:top w:w="113" w:type="dxa"/>
              <w:left w:w="91" w:type="dxa"/>
              <w:bottom w:w="113" w:type="dxa"/>
              <w:right w:w="91" w:type="dxa"/>
            </w:tcMar>
            <w:vAlign w:val="center"/>
          </w:tcPr>
          <w:p w14:paraId="09286445" w14:textId="77777777" w:rsidR="00E10228" w:rsidRPr="00C76BD1" w:rsidRDefault="00E10228" w:rsidP="00CF7FFA">
            <w:pPr>
              <w:suppressAutoHyphens/>
              <w:autoSpaceDE w:val="0"/>
              <w:autoSpaceDN w:val="0"/>
              <w:adjustRightInd w:val="0"/>
              <w:spacing w:after="0" w:line="240" w:lineRule="auto"/>
              <w:textAlignment w:val="center"/>
              <w:rPr>
                <w:rFonts w:cstheme="minorHAnsi"/>
              </w:rPr>
            </w:pPr>
            <w:r w:rsidRPr="00B955A0">
              <w:rPr>
                <w:rFonts w:cstheme="minorHAnsi"/>
                <w:spacing w:val="-2"/>
                <w:lang w:val="fr"/>
              </w:rPr>
              <w:t xml:space="preserve">Meubles de bureau et de </w:t>
            </w:r>
            <w:r>
              <w:rPr>
                <w:rFonts w:cstheme="minorHAnsi"/>
                <w:spacing w:val="-2"/>
                <w:lang w:val="fr"/>
              </w:rPr>
              <w:t>magasin</w:t>
            </w:r>
            <w:r w:rsidRPr="00B955A0">
              <w:rPr>
                <w:rFonts w:cstheme="minorHAnsi"/>
                <w:spacing w:val="-2"/>
                <w:lang w:val="fr"/>
              </w:rPr>
              <w:t xml:space="preserve"> </w:t>
            </w:r>
          </w:p>
        </w:tc>
        <w:tc>
          <w:tcPr>
            <w:tcW w:w="1133" w:type="dxa"/>
            <w:vAlign w:val="center"/>
          </w:tcPr>
          <w:p w14:paraId="6D9B6C2D" w14:textId="77777777" w:rsidR="00E10228" w:rsidRPr="00B955A0" w:rsidRDefault="00E10228" w:rsidP="00CF7FFA">
            <w:pPr>
              <w:suppressAutoHyphens/>
              <w:autoSpaceDE w:val="0"/>
              <w:autoSpaceDN w:val="0"/>
              <w:adjustRightInd w:val="0"/>
              <w:spacing w:after="0" w:line="240" w:lineRule="auto"/>
              <w:ind w:right="181"/>
              <w:jc w:val="center"/>
              <w:textAlignment w:val="center"/>
              <w:rPr>
                <w:rFonts w:cstheme="minorHAnsi"/>
                <w:lang w:val="fr-FR"/>
              </w:rPr>
            </w:pPr>
            <w:r w:rsidRPr="00B955A0">
              <w:rPr>
                <w:rFonts w:cstheme="minorHAnsi"/>
                <w:lang w:val="fr"/>
              </w:rPr>
              <w:t>489,4</w:t>
            </w:r>
          </w:p>
        </w:tc>
        <w:tc>
          <w:tcPr>
            <w:tcW w:w="1275" w:type="dxa"/>
            <w:vAlign w:val="center"/>
          </w:tcPr>
          <w:p w14:paraId="7E91F4A1" w14:textId="77777777" w:rsidR="00E10228" w:rsidRPr="00B955A0" w:rsidRDefault="00E10228" w:rsidP="00CF7FFA">
            <w:pPr>
              <w:suppressAutoHyphens/>
              <w:autoSpaceDE w:val="0"/>
              <w:autoSpaceDN w:val="0"/>
              <w:adjustRightInd w:val="0"/>
              <w:spacing w:after="0" w:line="240" w:lineRule="auto"/>
              <w:ind w:right="181"/>
              <w:jc w:val="center"/>
              <w:textAlignment w:val="center"/>
              <w:rPr>
                <w:rFonts w:cstheme="minorHAnsi"/>
                <w:lang w:val="fr-FR"/>
              </w:rPr>
            </w:pPr>
            <w:r w:rsidRPr="00B955A0">
              <w:rPr>
                <w:rFonts w:cstheme="minorHAnsi"/>
                <w:lang w:val="fr"/>
              </w:rPr>
              <w:t>-14,6 %</w:t>
            </w:r>
          </w:p>
        </w:tc>
        <w:tc>
          <w:tcPr>
            <w:tcW w:w="1276" w:type="dxa"/>
            <w:vAlign w:val="center"/>
          </w:tcPr>
          <w:p w14:paraId="4062AF1D" w14:textId="77777777" w:rsidR="00E10228" w:rsidRPr="00B955A0" w:rsidRDefault="00E10228" w:rsidP="00CF7FFA">
            <w:pPr>
              <w:suppressAutoHyphens/>
              <w:autoSpaceDE w:val="0"/>
              <w:autoSpaceDN w:val="0"/>
              <w:adjustRightInd w:val="0"/>
              <w:spacing w:after="0" w:line="240" w:lineRule="auto"/>
              <w:ind w:right="181"/>
              <w:jc w:val="center"/>
              <w:textAlignment w:val="center"/>
              <w:rPr>
                <w:rFonts w:cstheme="minorHAnsi"/>
                <w:lang w:val="fr-FR"/>
              </w:rPr>
            </w:pPr>
            <w:r w:rsidRPr="00B955A0">
              <w:rPr>
                <w:rFonts w:cstheme="minorHAnsi"/>
                <w:lang w:val="fr"/>
              </w:rPr>
              <w:t>-15,8 %</w:t>
            </w:r>
          </w:p>
        </w:tc>
        <w:tc>
          <w:tcPr>
            <w:tcW w:w="1134" w:type="dxa"/>
            <w:vAlign w:val="center"/>
          </w:tcPr>
          <w:p w14:paraId="24E4B14C" w14:textId="77777777" w:rsidR="00E10228" w:rsidRPr="00B955A0" w:rsidRDefault="00E10228" w:rsidP="00CF7FFA">
            <w:pPr>
              <w:suppressAutoHyphens/>
              <w:autoSpaceDE w:val="0"/>
              <w:autoSpaceDN w:val="0"/>
              <w:adjustRightInd w:val="0"/>
              <w:spacing w:after="0" w:line="240" w:lineRule="auto"/>
              <w:ind w:right="181"/>
              <w:jc w:val="center"/>
              <w:textAlignment w:val="center"/>
              <w:rPr>
                <w:rFonts w:cstheme="minorHAnsi"/>
                <w:lang w:val="fr-FR"/>
              </w:rPr>
            </w:pPr>
            <w:r>
              <w:rPr>
                <w:rFonts w:cstheme="minorHAnsi"/>
                <w:lang w:val="fr"/>
              </w:rPr>
              <w:t>230,4</w:t>
            </w:r>
          </w:p>
        </w:tc>
        <w:tc>
          <w:tcPr>
            <w:tcW w:w="1134" w:type="dxa"/>
            <w:vAlign w:val="center"/>
          </w:tcPr>
          <w:p w14:paraId="74726834" w14:textId="77777777" w:rsidR="00E10228" w:rsidRPr="00B955A0" w:rsidRDefault="00E10228" w:rsidP="00CF7FFA">
            <w:pPr>
              <w:suppressAutoHyphens/>
              <w:autoSpaceDE w:val="0"/>
              <w:autoSpaceDN w:val="0"/>
              <w:adjustRightInd w:val="0"/>
              <w:spacing w:after="0" w:line="240" w:lineRule="auto"/>
              <w:ind w:right="181"/>
              <w:jc w:val="center"/>
              <w:textAlignment w:val="center"/>
              <w:rPr>
                <w:rFonts w:cstheme="minorHAnsi"/>
                <w:lang w:val="fr-FR"/>
              </w:rPr>
            </w:pPr>
            <w:r>
              <w:rPr>
                <w:rFonts w:cstheme="minorHAnsi"/>
                <w:lang w:val="fr"/>
              </w:rPr>
              <w:t>-11,1 %</w:t>
            </w:r>
          </w:p>
        </w:tc>
        <w:tc>
          <w:tcPr>
            <w:tcW w:w="1134" w:type="dxa"/>
            <w:vAlign w:val="center"/>
          </w:tcPr>
          <w:p w14:paraId="64148A8D" w14:textId="77777777" w:rsidR="00E10228" w:rsidRPr="00B955A0" w:rsidRDefault="00E10228" w:rsidP="00CF7FFA">
            <w:pPr>
              <w:suppressAutoHyphens/>
              <w:autoSpaceDE w:val="0"/>
              <w:autoSpaceDN w:val="0"/>
              <w:adjustRightInd w:val="0"/>
              <w:spacing w:after="0" w:line="240" w:lineRule="auto"/>
              <w:ind w:right="181"/>
              <w:jc w:val="center"/>
              <w:textAlignment w:val="center"/>
              <w:rPr>
                <w:lang w:val="fr-FR"/>
              </w:rPr>
            </w:pPr>
            <w:r w:rsidRPr="1C83DAF5">
              <w:rPr>
                <w:lang w:val="fr"/>
              </w:rPr>
              <w:t>-2,7 %</w:t>
            </w:r>
          </w:p>
        </w:tc>
      </w:tr>
      <w:tr w:rsidR="00E10228" w14:paraId="20EFC509" w14:textId="77777777" w:rsidTr="00CF7FFA">
        <w:tc>
          <w:tcPr>
            <w:tcW w:w="3829" w:type="dxa"/>
            <w:tcMar>
              <w:top w:w="113" w:type="dxa"/>
              <w:left w:w="91" w:type="dxa"/>
              <w:bottom w:w="113" w:type="dxa"/>
              <w:right w:w="91" w:type="dxa"/>
            </w:tcMar>
            <w:vAlign w:val="center"/>
          </w:tcPr>
          <w:p w14:paraId="36247B0E" w14:textId="77777777" w:rsidR="00E10228" w:rsidRPr="00B955A0" w:rsidRDefault="00E10228" w:rsidP="00CF7FFA">
            <w:pPr>
              <w:suppressAutoHyphens/>
              <w:autoSpaceDE w:val="0"/>
              <w:autoSpaceDN w:val="0"/>
              <w:adjustRightInd w:val="0"/>
              <w:spacing w:after="0" w:line="240" w:lineRule="auto"/>
              <w:textAlignment w:val="center"/>
              <w:rPr>
                <w:rFonts w:cstheme="minorHAnsi"/>
                <w:lang w:val="nl-NL"/>
              </w:rPr>
            </w:pPr>
            <w:r w:rsidRPr="00B955A0">
              <w:rPr>
                <w:rFonts w:cstheme="minorHAnsi"/>
                <w:lang w:val="fr"/>
              </w:rPr>
              <w:t xml:space="preserve">Meubles de cuisine </w:t>
            </w:r>
          </w:p>
        </w:tc>
        <w:tc>
          <w:tcPr>
            <w:tcW w:w="1133" w:type="dxa"/>
            <w:vAlign w:val="center"/>
          </w:tcPr>
          <w:p w14:paraId="30918DD9" w14:textId="77777777" w:rsidR="00E10228" w:rsidRPr="00B955A0" w:rsidRDefault="00E10228" w:rsidP="00CF7FFA">
            <w:pPr>
              <w:suppressAutoHyphens/>
              <w:autoSpaceDE w:val="0"/>
              <w:autoSpaceDN w:val="0"/>
              <w:adjustRightInd w:val="0"/>
              <w:spacing w:after="0" w:line="240" w:lineRule="auto"/>
              <w:ind w:right="181"/>
              <w:jc w:val="center"/>
              <w:textAlignment w:val="center"/>
              <w:rPr>
                <w:rFonts w:cstheme="minorHAnsi"/>
                <w:lang w:val="fr-FR"/>
              </w:rPr>
            </w:pPr>
            <w:r w:rsidRPr="00B955A0">
              <w:rPr>
                <w:rFonts w:cstheme="minorHAnsi"/>
                <w:lang w:val="fr"/>
              </w:rPr>
              <w:t>517,5</w:t>
            </w:r>
          </w:p>
        </w:tc>
        <w:tc>
          <w:tcPr>
            <w:tcW w:w="1275" w:type="dxa"/>
            <w:vAlign w:val="center"/>
          </w:tcPr>
          <w:p w14:paraId="5AFB8C6E" w14:textId="77777777" w:rsidR="00E10228" w:rsidRPr="00B955A0" w:rsidRDefault="00E10228" w:rsidP="00CF7FFA">
            <w:pPr>
              <w:suppressAutoHyphens/>
              <w:autoSpaceDE w:val="0"/>
              <w:autoSpaceDN w:val="0"/>
              <w:adjustRightInd w:val="0"/>
              <w:spacing w:after="0" w:line="240" w:lineRule="auto"/>
              <w:ind w:right="181"/>
              <w:jc w:val="center"/>
              <w:textAlignment w:val="center"/>
              <w:rPr>
                <w:rFonts w:cstheme="minorHAnsi"/>
                <w:lang w:val="fr-FR"/>
              </w:rPr>
            </w:pPr>
            <w:r w:rsidRPr="00B955A0">
              <w:rPr>
                <w:rFonts w:cstheme="minorHAnsi"/>
                <w:lang w:val="fr"/>
              </w:rPr>
              <w:t>+0,8 %</w:t>
            </w:r>
          </w:p>
        </w:tc>
        <w:tc>
          <w:tcPr>
            <w:tcW w:w="1276" w:type="dxa"/>
            <w:vAlign w:val="center"/>
          </w:tcPr>
          <w:p w14:paraId="7F47468D" w14:textId="77777777" w:rsidR="00E10228" w:rsidRPr="00B955A0" w:rsidRDefault="00E10228" w:rsidP="00CF7FFA">
            <w:pPr>
              <w:suppressAutoHyphens/>
              <w:autoSpaceDE w:val="0"/>
              <w:autoSpaceDN w:val="0"/>
              <w:adjustRightInd w:val="0"/>
              <w:spacing w:after="0" w:line="240" w:lineRule="auto"/>
              <w:ind w:right="181"/>
              <w:jc w:val="center"/>
              <w:textAlignment w:val="center"/>
              <w:rPr>
                <w:rFonts w:cstheme="minorHAnsi"/>
                <w:lang w:val="fr-FR"/>
              </w:rPr>
            </w:pPr>
            <w:r w:rsidRPr="00B955A0">
              <w:rPr>
                <w:rFonts w:cstheme="minorHAnsi"/>
                <w:lang w:val="fr"/>
              </w:rPr>
              <w:t>-7,8 %</w:t>
            </w:r>
          </w:p>
        </w:tc>
        <w:tc>
          <w:tcPr>
            <w:tcW w:w="1134" w:type="dxa"/>
            <w:vAlign w:val="center"/>
          </w:tcPr>
          <w:p w14:paraId="6C6A9352" w14:textId="77777777" w:rsidR="00E10228" w:rsidRPr="00B955A0" w:rsidRDefault="00E10228" w:rsidP="00CF7FFA">
            <w:pPr>
              <w:suppressAutoHyphens/>
              <w:autoSpaceDE w:val="0"/>
              <w:autoSpaceDN w:val="0"/>
              <w:adjustRightInd w:val="0"/>
              <w:spacing w:after="0" w:line="240" w:lineRule="auto"/>
              <w:ind w:right="181"/>
              <w:jc w:val="center"/>
              <w:textAlignment w:val="center"/>
              <w:rPr>
                <w:rFonts w:cstheme="minorHAnsi"/>
                <w:lang w:val="fr-FR"/>
              </w:rPr>
            </w:pPr>
            <w:r>
              <w:rPr>
                <w:rFonts w:cstheme="minorHAnsi"/>
                <w:lang w:val="fr"/>
              </w:rPr>
              <w:t>252,8</w:t>
            </w:r>
          </w:p>
        </w:tc>
        <w:tc>
          <w:tcPr>
            <w:tcW w:w="1134" w:type="dxa"/>
            <w:vAlign w:val="center"/>
          </w:tcPr>
          <w:p w14:paraId="4FA2939E" w14:textId="77777777" w:rsidR="00E10228" w:rsidRPr="00B955A0" w:rsidRDefault="00E10228" w:rsidP="00CF7FFA">
            <w:pPr>
              <w:suppressAutoHyphens/>
              <w:autoSpaceDE w:val="0"/>
              <w:autoSpaceDN w:val="0"/>
              <w:adjustRightInd w:val="0"/>
              <w:spacing w:after="0" w:line="240" w:lineRule="auto"/>
              <w:ind w:right="181"/>
              <w:jc w:val="center"/>
              <w:textAlignment w:val="center"/>
              <w:rPr>
                <w:rFonts w:cstheme="minorHAnsi"/>
                <w:lang w:val="fr-FR"/>
              </w:rPr>
            </w:pPr>
            <w:r>
              <w:rPr>
                <w:rFonts w:cstheme="minorHAnsi"/>
                <w:lang w:val="fr"/>
              </w:rPr>
              <w:t>-8,1 %</w:t>
            </w:r>
          </w:p>
        </w:tc>
        <w:tc>
          <w:tcPr>
            <w:tcW w:w="1134" w:type="dxa"/>
            <w:vAlign w:val="center"/>
          </w:tcPr>
          <w:p w14:paraId="2B0604B8" w14:textId="77777777" w:rsidR="00E10228" w:rsidRPr="00B955A0" w:rsidRDefault="00E10228" w:rsidP="00CF7FFA">
            <w:pPr>
              <w:suppressAutoHyphens/>
              <w:autoSpaceDE w:val="0"/>
              <w:autoSpaceDN w:val="0"/>
              <w:adjustRightInd w:val="0"/>
              <w:spacing w:after="0" w:line="240" w:lineRule="auto"/>
              <w:ind w:right="181"/>
              <w:jc w:val="center"/>
              <w:textAlignment w:val="center"/>
              <w:rPr>
                <w:lang w:val="fr-FR"/>
              </w:rPr>
            </w:pPr>
            <w:r w:rsidRPr="1C83DAF5">
              <w:rPr>
                <w:lang w:val="fr"/>
              </w:rPr>
              <w:t>-10,3 %</w:t>
            </w:r>
          </w:p>
        </w:tc>
      </w:tr>
      <w:tr w:rsidR="00E10228" w14:paraId="3A6A7F16" w14:textId="77777777" w:rsidTr="00CF7FFA">
        <w:tc>
          <w:tcPr>
            <w:tcW w:w="3829" w:type="dxa"/>
            <w:tcMar>
              <w:top w:w="113" w:type="dxa"/>
              <w:left w:w="91" w:type="dxa"/>
              <w:bottom w:w="113" w:type="dxa"/>
              <w:right w:w="91" w:type="dxa"/>
            </w:tcMar>
            <w:vAlign w:val="center"/>
          </w:tcPr>
          <w:p w14:paraId="2966BAF8" w14:textId="77777777" w:rsidR="00E10228" w:rsidRPr="00B955A0" w:rsidRDefault="00E10228" w:rsidP="00CF7FFA">
            <w:pPr>
              <w:suppressAutoHyphens/>
              <w:autoSpaceDE w:val="0"/>
              <w:autoSpaceDN w:val="0"/>
              <w:adjustRightInd w:val="0"/>
              <w:spacing w:after="0" w:line="240" w:lineRule="auto"/>
              <w:textAlignment w:val="center"/>
              <w:rPr>
                <w:rFonts w:cstheme="minorHAnsi"/>
                <w:lang w:val="nl-NL"/>
              </w:rPr>
            </w:pPr>
            <w:r w:rsidRPr="00B955A0">
              <w:rPr>
                <w:rFonts w:cstheme="minorHAnsi"/>
                <w:lang w:val="fr"/>
              </w:rPr>
              <w:t>Matelas et sommiers</w:t>
            </w:r>
          </w:p>
        </w:tc>
        <w:tc>
          <w:tcPr>
            <w:tcW w:w="1133" w:type="dxa"/>
            <w:vAlign w:val="center"/>
          </w:tcPr>
          <w:p w14:paraId="651F879F" w14:textId="77777777" w:rsidR="00E10228" w:rsidRPr="00B955A0" w:rsidRDefault="00E10228" w:rsidP="00CF7FFA">
            <w:pPr>
              <w:suppressAutoHyphens/>
              <w:autoSpaceDE w:val="0"/>
              <w:autoSpaceDN w:val="0"/>
              <w:adjustRightInd w:val="0"/>
              <w:spacing w:after="0" w:line="240" w:lineRule="auto"/>
              <w:ind w:right="181"/>
              <w:jc w:val="center"/>
              <w:textAlignment w:val="center"/>
              <w:rPr>
                <w:rFonts w:cstheme="minorHAnsi"/>
                <w:lang w:val="fr-FR"/>
              </w:rPr>
            </w:pPr>
            <w:r w:rsidRPr="00B955A0">
              <w:rPr>
                <w:rFonts w:cstheme="minorHAnsi"/>
                <w:lang w:val="fr"/>
              </w:rPr>
              <w:t>218,7</w:t>
            </w:r>
          </w:p>
        </w:tc>
        <w:tc>
          <w:tcPr>
            <w:tcW w:w="1275" w:type="dxa"/>
            <w:vAlign w:val="center"/>
          </w:tcPr>
          <w:p w14:paraId="05A2BC34" w14:textId="77777777" w:rsidR="00E10228" w:rsidRPr="00B955A0" w:rsidRDefault="00E10228" w:rsidP="00CF7FFA">
            <w:pPr>
              <w:suppressAutoHyphens/>
              <w:autoSpaceDE w:val="0"/>
              <w:autoSpaceDN w:val="0"/>
              <w:adjustRightInd w:val="0"/>
              <w:spacing w:after="0" w:line="240" w:lineRule="auto"/>
              <w:ind w:right="181"/>
              <w:jc w:val="center"/>
              <w:textAlignment w:val="center"/>
              <w:rPr>
                <w:rFonts w:cstheme="minorHAnsi"/>
                <w:lang w:val="fr-FR"/>
              </w:rPr>
            </w:pPr>
            <w:r w:rsidRPr="00B955A0">
              <w:rPr>
                <w:rFonts w:cstheme="minorHAnsi"/>
                <w:lang w:val="fr"/>
              </w:rPr>
              <w:t>-11,7 %</w:t>
            </w:r>
          </w:p>
        </w:tc>
        <w:tc>
          <w:tcPr>
            <w:tcW w:w="1276" w:type="dxa"/>
            <w:vAlign w:val="center"/>
          </w:tcPr>
          <w:p w14:paraId="4F1AB769" w14:textId="77777777" w:rsidR="00E10228" w:rsidRPr="00B955A0" w:rsidRDefault="00E10228" w:rsidP="00CF7FFA">
            <w:pPr>
              <w:suppressAutoHyphens/>
              <w:autoSpaceDE w:val="0"/>
              <w:autoSpaceDN w:val="0"/>
              <w:adjustRightInd w:val="0"/>
              <w:spacing w:after="0" w:line="240" w:lineRule="auto"/>
              <w:ind w:right="181"/>
              <w:jc w:val="center"/>
              <w:textAlignment w:val="center"/>
              <w:rPr>
                <w:rFonts w:cstheme="minorHAnsi"/>
                <w:lang w:val="fr-FR"/>
              </w:rPr>
            </w:pPr>
            <w:r w:rsidRPr="00B955A0">
              <w:rPr>
                <w:rFonts w:cstheme="minorHAnsi"/>
                <w:lang w:val="fr"/>
              </w:rPr>
              <w:t>-13,8 %</w:t>
            </w:r>
          </w:p>
        </w:tc>
        <w:tc>
          <w:tcPr>
            <w:tcW w:w="1134" w:type="dxa"/>
            <w:vAlign w:val="center"/>
          </w:tcPr>
          <w:p w14:paraId="4EFB0A8A" w14:textId="77777777" w:rsidR="00E10228" w:rsidRPr="00B955A0" w:rsidRDefault="00E10228" w:rsidP="00CF7FFA">
            <w:pPr>
              <w:suppressAutoHyphens/>
              <w:autoSpaceDE w:val="0"/>
              <w:autoSpaceDN w:val="0"/>
              <w:adjustRightInd w:val="0"/>
              <w:spacing w:after="0" w:line="240" w:lineRule="auto"/>
              <w:ind w:right="181"/>
              <w:jc w:val="center"/>
              <w:textAlignment w:val="center"/>
              <w:rPr>
                <w:rFonts w:cstheme="minorHAnsi"/>
                <w:lang w:val="fr-FR"/>
              </w:rPr>
            </w:pPr>
            <w:r>
              <w:rPr>
                <w:rFonts w:cstheme="minorHAnsi"/>
                <w:lang w:val="fr"/>
              </w:rPr>
              <w:t>99,9</w:t>
            </w:r>
          </w:p>
        </w:tc>
        <w:tc>
          <w:tcPr>
            <w:tcW w:w="1134" w:type="dxa"/>
            <w:vAlign w:val="center"/>
          </w:tcPr>
          <w:p w14:paraId="0FD03058" w14:textId="77777777" w:rsidR="00E10228" w:rsidRPr="00B955A0" w:rsidRDefault="00E10228" w:rsidP="00CF7FFA">
            <w:pPr>
              <w:suppressAutoHyphens/>
              <w:autoSpaceDE w:val="0"/>
              <w:autoSpaceDN w:val="0"/>
              <w:adjustRightInd w:val="0"/>
              <w:spacing w:after="0" w:line="240" w:lineRule="auto"/>
              <w:ind w:right="181"/>
              <w:jc w:val="center"/>
              <w:textAlignment w:val="center"/>
              <w:rPr>
                <w:rFonts w:cstheme="minorHAnsi"/>
                <w:lang w:val="fr-FR"/>
              </w:rPr>
            </w:pPr>
            <w:r>
              <w:rPr>
                <w:rFonts w:cstheme="minorHAnsi"/>
                <w:lang w:val="fr"/>
              </w:rPr>
              <w:t>-13,0 %</w:t>
            </w:r>
          </w:p>
        </w:tc>
        <w:tc>
          <w:tcPr>
            <w:tcW w:w="1134" w:type="dxa"/>
            <w:vAlign w:val="center"/>
          </w:tcPr>
          <w:p w14:paraId="40DB5C23" w14:textId="77777777" w:rsidR="00E10228" w:rsidRPr="00B955A0" w:rsidRDefault="00E10228" w:rsidP="00CF7FFA">
            <w:pPr>
              <w:suppressAutoHyphens/>
              <w:autoSpaceDE w:val="0"/>
              <w:autoSpaceDN w:val="0"/>
              <w:adjustRightInd w:val="0"/>
              <w:spacing w:after="0" w:line="240" w:lineRule="auto"/>
              <w:ind w:right="181"/>
              <w:jc w:val="center"/>
              <w:textAlignment w:val="center"/>
              <w:rPr>
                <w:lang w:val="fr-FR"/>
              </w:rPr>
            </w:pPr>
            <w:r w:rsidRPr="1C83DAF5">
              <w:rPr>
                <w:lang w:val="fr"/>
              </w:rPr>
              <w:t>-12,5 %</w:t>
            </w:r>
          </w:p>
        </w:tc>
      </w:tr>
      <w:tr w:rsidR="00E10228" w14:paraId="4E06D461" w14:textId="77777777" w:rsidTr="00CF7FFA">
        <w:trPr>
          <w:trHeight w:val="24"/>
        </w:trPr>
        <w:tc>
          <w:tcPr>
            <w:tcW w:w="3829" w:type="dxa"/>
            <w:tcMar>
              <w:top w:w="91" w:type="dxa"/>
              <w:left w:w="91" w:type="dxa"/>
              <w:bottom w:w="91" w:type="dxa"/>
              <w:right w:w="91" w:type="dxa"/>
            </w:tcMar>
            <w:vAlign w:val="center"/>
          </w:tcPr>
          <w:p w14:paraId="229A36B3" w14:textId="77777777" w:rsidR="00E10228" w:rsidRPr="00B955A0" w:rsidRDefault="00E10228" w:rsidP="00CF7FFA">
            <w:pPr>
              <w:suppressAutoHyphens/>
              <w:autoSpaceDE w:val="0"/>
              <w:autoSpaceDN w:val="0"/>
              <w:adjustRightInd w:val="0"/>
              <w:spacing w:after="0" w:line="240" w:lineRule="auto"/>
              <w:textAlignment w:val="center"/>
              <w:rPr>
                <w:rFonts w:cstheme="minorHAnsi"/>
                <w:lang w:val="nl-NL"/>
              </w:rPr>
            </w:pPr>
            <w:r w:rsidRPr="00B955A0">
              <w:rPr>
                <w:rFonts w:cstheme="minorHAnsi"/>
                <w:b/>
                <w:bCs/>
                <w:lang w:val="fr"/>
              </w:rPr>
              <w:t>Industrie de l’ameublement**</w:t>
            </w:r>
          </w:p>
        </w:tc>
        <w:tc>
          <w:tcPr>
            <w:tcW w:w="1133" w:type="dxa"/>
            <w:vAlign w:val="center"/>
          </w:tcPr>
          <w:p w14:paraId="1131445A" w14:textId="77777777" w:rsidR="00E10228" w:rsidRPr="00B955A0" w:rsidRDefault="00E10228" w:rsidP="00CF7FFA">
            <w:pPr>
              <w:suppressAutoHyphens/>
              <w:autoSpaceDE w:val="0"/>
              <w:autoSpaceDN w:val="0"/>
              <w:adjustRightInd w:val="0"/>
              <w:spacing w:after="0" w:line="240" w:lineRule="auto"/>
              <w:ind w:right="181"/>
              <w:jc w:val="center"/>
              <w:textAlignment w:val="center"/>
              <w:rPr>
                <w:rFonts w:cstheme="minorHAnsi"/>
                <w:lang w:val="fr-FR"/>
              </w:rPr>
            </w:pPr>
            <w:r w:rsidRPr="00B955A0">
              <w:rPr>
                <w:rFonts w:cstheme="minorHAnsi"/>
                <w:b/>
                <w:bCs/>
                <w:lang w:val="fr"/>
              </w:rPr>
              <w:t>2 104,0</w:t>
            </w:r>
          </w:p>
        </w:tc>
        <w:tc>
          <w:tcPr>
            <w:tcW w:w="1275" w:type="dxa"/>
            <w:vAlign w:val="center"/>
          </w:tcPr>
          <w:p w14:paraId="2A17E393" w14:textId="77777777" w:rsidR="00E10228" w:rsidRPr="00B955A0" w:rsidRDefault="00E10228" w:rsidP="00CF7FFA">
            <w:pPr>
              <w:suppressAutoHyphens/>
              <w:autoSpaceDE w:val="0"/>
              <w:autoSpaceDN w:val="0"/>
              <w:adjustRightInd w:val="0"/>
              <w:spacing w:after="0" w:line="240" w:lineRule="auto"/>
              <w:ind w:right="181"/>
              <w:jc w:val="center"/>
              <w:textAlignment w:val="center"/>
              <w:rPr>
                <w:rFonts w:cstheme="minorHAnsi"/>
                <w:lang w:val="fr-FR"/>
              </w:rPr>
            </w:pPr>
            <w:r w:rsidRPr="00B955A0">
              <w:rPr>
                <w:rFonts w:cstheme="minorHAnsi"/>
                <w:b/>
                <w:bCs/>
                <w:lang w:val="fr"/>
              </w:rPr>
              <w:t>-7,0 %</w:t>
            </w:r>
          </w:p>
        </w:tc>
        <w:tc>
          <w:tcPr>
            <w:tcW w:w="1276" w:type="dxa"/>
            <w:vAlign w:val="center"/>
          </w:tcPr>
          <w:p w14:paraId="71823EB0" w14:textId="77777777" w:rsidR="00E10228" w:rsidRPr="00B955A0" w:rsidRDefault="00E10228" w:rsidP="00CF7FFA">
            <w:pPr>
              <w:suppressAutoHyphens/>
              <w:autoSpaceDE w:val="0"/>
              <w:autoSpaceDN w:val="0"/>
              <w:adjustRightInd w:val="0"/>
              <w:spacing w:after="0" w:line="240" w:lineRule="auto"/>
              <w:ind w:right="181"/>
              <w:jc w:val="center"/>
              <w:textAlignment w:val="center"/>
              <w:rPr>
                <w:rFonts w:cstheme="minorHAnsi"/>
                <w:lang w:val="fr-FR"/>
              </w:rPr>
            </w:pPr>
            <w:r w:rsidRPr="00B955A0">
              <w:rPr>
                <w:rFonts w:cstheme="minorHAnsi"/>
                <w:b/>
                <w:bCs/>
                <w:lang w:val="fr"/>
              </w:rPr>
              <w:t>-10,9 %</w:t>
            </w:r>
          </w:p>
        </w:tc>
        <w:tc>
          <w:tcPr>
            <w:tcW w:w="1134" w:type="dxa"/>
            <w:vAlign w:val="center"/>
          </w:tcPr>
          <w:p w14:paraId="2CABE04C" w14:textId="77777777" w:rsidR="00E10228" w:rsidRPr="00B955A0" w:rsidRDefault="00E10228" w:rsidP="00CF7FFA">
            <w:pPr>
              <w:suppressAutoHyphens/>
              <w:autoSpaceDE w:val="0"/>
              <w:autoSpaceDN w:val="0"/>
              <w:adjustRightInd w:val="0"/>
              <w:spacing w:after="0" w:line="240" w:lineRule="auto"/>
              <w:ind w:right="181"/>
              <w:jc w:val="center"/>
              <w:textAlignment w:val="center"/>
              <w:rPr>
                <w:rFonts w:cstheme="minorHAnsi"/>
                <w:b/>
                <w:bCs/>
                <w:lang w:val="fr-FR"/>
              </w:rPr>
            </w:pPr>
            <w:r>
              <w:rPr>
                <w:rFonts w:cstheme="minorHAnsi"/>
                <w:b/>
                <w:bCs/>
                <w:lang w:val="fr"/>
              </w:rPr>
              <w:t>1 023,1</w:t>
            </w:r>
          </w:p>
        </w:tc>
        <w:tc>
          <w:tcPr>
            <w:tcW w:w="1134" w:type="dxa"/>
            <w:vAlign w:val="center"/>
          </w:tcPr>
          <w:p w14:paraId="58C88EE9" w14:textId="77777777" w:rsidR="00E10228" w:rsidRPr="00B955A0" w:rsidRDefault="00E10228" w:rsidP="00CF7FFA">
            <w:pPr>
              <w:suppressAutoHyphens/>
              <w:autoSpaceDE w:val="0"/>
              <w:autoSpaceDN w:val="0"/>
              <w:adjustRightInd w:val="0"/>
              <w:spacing w:after="0" w:line="240" w:lineRule="auto"/>
              <w:ind w:right="181"/>
              <w:jc w:val="center"/>
              <w:textAlignment w:val="center"/>
              <w:rPr>
                <w:rFonts w:cstheme="minorHAnsi"/>
                <w:b/>
                <w:bCs/>
                <w:lang w:val="fr-FR"/>
              </w:rPr>
            </w:pPr>
            <w:r>
              <w:rPr>
                <w:rFonts w:cstheme="minorHAnsi"/>
                <w:b/>
                <w:bCs/>
                <w:lang w:val="fr"/>
              </w:rPr>
              <w:t>-7,8 %</w:t>
            </w:r>
          </w:p>
        </w:tc>
        <w:tc>
          <w:tcPr>
            <w:tcW w:w="1134" w:type="dxa"/>
            <w:vAlign w:val="center"/>
          </w:tcPr>
          <w:p w14:paraId="211F6F8A" w14:textId="77777777" w:rsidR="00E10228" w:rsidRPr="00B955A0" w:rsidRDefault="00E10228" w:rsidP="00CF7FFA">
            <w:pPr>
              <w:suppressAutoHyphens/>
              <w:autoSpaceDE w:val="0"/>
              <w:autoSpaceDN w:val="0"/>
              <w:adjustRightInd w:val="0"/>
              <w:spacing w:after="0" w:line="240" w:lineRule="auto"/>
              <w:ind w:right="181"/>
              <w:jc w:val="center"/>
              <w:textAlignment w:val="center"/>
              <w:rPr>
                <w:b/>
                <w:bCs/>
                <w:lang w:val="fr-FR"/>
              </w:rPr>
            </w:pPr>
            <w:r w:rsidRPr="1C83DAF5">
              <w:rPr>
                <w:b/>
                <w:bCs/>
                <w:lang w:val="fr"/>
              </w:rPr>
              <w:t>-7,1 %</w:t>
            </w:r>
          </w:p>
        </w:tc>
      </w:tr>
    </w:tbl>
    <w:p w14:paraId="770E5F82" w14:textId="77777777" w:rsidR="00E10228" w:rsidRPr="00C76BD1" w:rsidRDefault="00E10228" w:rsidP="00E10228">
      <w:pPr>
        <w:tabs>
          <w:tab w:val="right" w:pos="6700"/>
        </w:tabs>
        <w:suppressAutoHyphens/>
        <w:autoSpaceDE w:val="0"/>
        <w:autoSpaceDN w:val="0"/>
        <w:adjustRightInd w:val="0"/>
        <w:spacing w:before="120" w:after="120" w:line="240" w:lineRule="auto"/>
        <w:ind w:left="420" w:hanging="280"/>
        <w:contextualSpacing/>
        <w:textAlignment w:val="center"/>
        <w:rPr>
          <w:rFonts w:cstheme="minorHAnsi"/>
          <w:i/>
          <w:iCs/>
          <w:color w:val="000000"/>
          <w:sz w:val="14"/>
          <w:szCs w:val="14"/>
        </w:rPr>
      </w:pPr>
      <w:r w:rsidRPr="00A93CEA">
        <w:rPr>
          <w:rFonts w:cstheme="minorHAnsi"/>
          <w:i/>
          <w:iCs/>
          <w:color w:val="000000"/>
          <w:sz w:val="14"/>
          <w:szCs w:val="14"/>
          <w:lang w:val="fr"/>
        </w:rPr>
        <w:t>*</w:t>
      </w:r>
      <w:r w:rsidRPr="00A93CEA">
        <w:rPr>
          <w:rFonts w:cstheme="minorHAnsi"/>
          <w:i/>
          <w:iCs/>
          <w:color w:val="000000"/>
          <w:sz w:val="14"/>
          <w:szCs w:val="14"/>
          <w:lang w:val="fr"/>
        </w:rPr>
        <w:tab/>
        <w:t xml:space="preserve">Données provisoires </w:t>
      </w:r>
      <w:r w:rsidRPr="00A93CEA">
        <w:rPr>
          <w:rFonts w:cstheme="minorHAnsi"/>
          <w:i/>
          <w:iCs/>
          <w:color w:val="000000"/>
          <w:sz w:val="14"/>
          <w:szCs w:val="14"/>
          <w:lang w:val="fr"/>
        </w:rPr>
        <w:tab/>
        <w:t xml:space="preserve">Source : </w:t>
      </w:r>
      <w:r>
        <w:rPr>
          <w:rFonts w:cstheme="minorHAnsi"/>
          <w:i/>
          <w:iCs/>
          <w:color w:val="000000"/>
          <w:sz w:val="14"/>
          <w:szCs w:val="14"/>
          <w:lang w:val="fr"/>
        </w:rPr>
        <w:t>SPF</w:t>
      </w:r>
      <w:r w:rsidRPr="00A93CEA">
        <w:rPr>
          <w:rFonts w:cstheme="minorHAnsi"/>
          <w:i/>
          <w:iCs/>
          <w:color w:val="000000"/>
          <w:sz w:val="14"/>
          <w:szCs w:val="14"/>
          <w:lang w:val="fr"/>
        </w:rPr>
        <w:t xml:space="preserve"> Economie , déclarations TVA.</w:t>
      </w:r>
    </w:p>
    <w:p w14:paraId="7D72E8FF" w14:textId="77777777" w:rsidR="00E10228" w:rsidRPr="00A93CEA" w:rsidRDefault="00E10228" w:rsidP="00E10228">
      <w:pPr>
        <w:tabs>
          <w:tab w:val="right" w:pos="9520"/>
        </w:tabs>
        <w:suppressAutoHyphens/>
        <w:autoSpaceDE w:val="0"/>
        <w:autoSpaceDN w:val="0"/>
        <w:adjustRightInd w:val="0"/>
        <w:spacing w:before="120" w:after="120" w:line="240" w:lineRule="auto"/>
        <w:ind w:left="420" w:hanging="280"/>
        <w:contextualSpacing/>
        <w:textAlignment w:val="center"/>
        <w:rPr>
          <w:i/>
          <w:iCs/>
          <w:color w:val="000000"/>
          <w:sz w:val="14"/>
          <w:szCs w:val="14"/>
          <w:lang w:val="nl-NL"/>
        </w:rPr>
      </w:pPr>
      <w:r w:rsidRPr="1C83DAF5">
        <w:rPr>
          <w:i/>
          <w:iCs/>
          <w:color w:val="000000" w:themeColor="text1"/>
          <w:sz w:val="14"/>
          <w:szCs w:val="14"/>
          <w:lang w:val="fr"/>
        </w:rPr>
        <w:t>**Industrie de l’ameublement NACE 31</w:t>
      </w:r>
    </w:p>
    <w:p w14:paraId="3C6178B2" w14:textId="77777777" w:rsidR="00E10228" w:rsidRDefault="00E10228" w:rsidP="00E10228">
      <w:pPr>
        <w:rPr>
          <w:rFonts w:cstheme="minorHAnsi"/>
          <w:b/>
          <w:bCs/>
          <w:color w:val="000000"/>
          <w:lang w:val="nl-NL"/>
        </w:rPr>
      </w:pPr>
    </w:p>
    <w:p w14:paraId="02601A76" w14:textId="77777777" w:rsidR="00E10228" w:rsidRDefault="00E10228" w:rsidP="00E10228">
      <w:pPr>
        <w:suppressAutoHyphens/>
        <w:autoSpaceDE w:val="0"/>
        <w:autoSpaceDN w:val="0"/>
        <w:adjustRightInd w:val="0"/>
        <w:spacing w:before="120" w:after="120" w:line="240" w:lineRule="auto"/>
        <w:contextualSpacing/>
        <w:jc w:val="both"/>
        <w:textAlignment w:val="center"/>
        <w:rPr>
          <w:b/>
          <w:bCs/>
          <w:color w:val="000000"/>
          <w:lang w:val="nl-NL"/>
        </w:rPr>
      </w:pPr>
      <w:r>
        <w:rPr>
          <w:noProof/>
        </w:rPr>
        <w:drawing>
          <wp:inline distT="0" distB="0" distL="0" distR="0" wp14:anchorId="7CC37E30" wp14:editId="3A0C3CCB">
            <wp:extent cx="4589253" cy="2590656"/>
            <wp:effectExtent l="0" t="0" r="1905" b="635"/>
            <wp:docPr id="239830124" name="Grafiek 1">
              <a:extLst xmlns:a="http://schemas.openxmlformats.org/drawingml/2006/main">
                <a:ext uri="{FF2B5EF4-FFF2-40B4-BE49-F238E27FC236}">
                  <a16:creationId xmlns:a16="http://schemas.microsoft.com/office/drawing/2014/main" id="{89D49C13-F510-F4E3-C800-9921C9F5CD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E366711" w14:textId="02851530" w:rsidR="00E10228" w:rsidRPr="00C76BD1" w:rsidRDefault="00E10228" w:rsidP="00E10228">
      <w:pPr>
        <w:rPr>
          <w:rFonts w:cstheme="minorHAnsi"/>
          <w:b/>
          <w:bCs/>
          <w:color w:val="000000"/>
        </w:rPr>
      </w:pPr>
      <w:r w:rsidRPr="00E10228">
        <w:rPr>
          <w:rFonts w:cstheme="minorHAnsi"/>
          <w:b/>
          <w:bCs/>
          <w:color w:val="000000"/>
        </w:rPr>
        <w:br w:type="page"/>
      </w:r>
      <w:r w:rsidRPr="00A93CEA">
        <w:rPr>
          <w:rFonts w:cstheme="minorHAnsi"/>
          <w:b/>
          <w:bCs/>
          <w:color w:val="000000"/>
          <w:lang w:val="fr"/>
        </w:rPr>
        <w:lastRenderedPageBreak/>
        <w:t xml:space="preserve">BAISSE DES EXPORTATIONS ET IMPORTATIONS DE MEUBLES EN 2023 – STABILISATION DES EXPORTATIONS AU PREMIER SEMESTRE 2024 </w:t>
      </w:r>
    </w:p>
    <w:p w14:paraId="781CC82C" w14:textId="77777777" w:rsidR="00E10228" w:rsidRPr="00C76BD1" w:rsidRDefault="00E10228" w:rsidP="00E10228">
      <w:pPr>
        <w:suppressAutoHyphens/>
        <w:autoSpaceDE w:val="0"/>
        <w:autoSpaceDN w:val="0"/>
        <w:adjustRightInd w:val="0"/>
        <w:spacing w:before="120" w:after="120" w:line="240" w:lineRule="auto"/>
        <w:contextualSpacing/>
        <w:textAlignment w:val="center"/>
        <w:rPr>
          <w:rFonts w:cstheme="minorHAnsi"/>
          <w:b/>
          <w:bCs/>
          <w:color w:val="000000"/>
        </w:rPr>
      </w:pPr>
    </w:p>
    <w:p w14:paraId="03382764" w14:textId="77777777" w:rsidR="00E10228" w:rsidRPr="00C76BD1" w:rsidRDefault="00E10228" w:rsidP="00E10228">
      <w:pPr>
        <w:autoSpaceDE w:val="0"/>
        <w:autoSpaceDN w:val="0"/>
        <w:adjustRightInd w:val="0"/>
        <w:spacing w:after="0" w:line="240" w:lineRule="auto"/>
        <w:jc w:val="both"/>
        <w:textAlignment w:val="center"/>
      </w:pPr>
      <w:r w:rsidRPr="1C83DAF5">
        <w:rPr>
          <w:lang w:val="fr"/>
        </w:rPr>
        <w:t xml:space="preserve">Les exportations </w:t>
      </w:r>
      <w:r>
        <w:rPr>
          <w:lang w:val="fr"/>
        </w:rPr>
        <w:t xml:space="preserve">de meubles </w:t>
      </w:r>
      <w:r w:rsidRPr="1C83DAF5">
        <w:rPr>
          <w:lang w:val="fr"/>
        </w:rPr>
        <w:t xml:space="preserve">belges (transit inclus) ont diminué en 2023 de 10,8 %. 88,9 % des exportations de meubles ont lieu vers le marché de l’UE, où les livraisons ont reculé de 11,6 %. Les ventes vers la France – qui, avec une part de 32,4 %, représente le principal marché d’exportation – et celles vers les Pays-Bas – avec 24,4 %, le deuxième marché le plus important – ont chuté respectivement de 23,7 % et de 11,1 %. Néanmoins, sur le marché allemand – avec 19 % le troisième client principal –, les livraisons ont augmenté de 14,9 %.  </w:t>
      </w:r>
    </w:p>
    <w:p w14:paraId="1C4BCDEB" w14:textId="77777777" w:rsidR="00E10228" w:rsidRPr="00C76BD1" w:rsidRDefault="00E10228" w:rsidP="00E10228">
      <w:pPr>
        <w:autoSpaceDE w:val="0"/>
        <w:autoSpaceDN w:val="0"/>
        <w:adjustRightInd w:val="0"/>
        <w:spacing w:after="0" w:line="240" w:lineRule="auto"/>
        <w:jc w:val="both"/>
        <w:textAlignment w:val="center"/>
        <w:rPr>
          <w:rFonts w:cstheme="minorHAnsi"/>
        </w:rPr>
      </w:pPr>
    </w:p>
    <w:p w14:paraId="232778C2" w14:textId="77777777" w:rsidR="00E10228" w:rsidRPr="00C76BD1" w:rsidRDefault="00E10228" w:rsidP="00E10228">
      <w:pPr>
        <w:autoSpaceDE w:val="0"/>
        <w:autoSpaceDN w:val="0"/>
        <w:adjustRightInd w:val="0"/>
        <w:spacing w:after="0" w:line="240" w:lineRule="auto"/>
        <w:jc w:val="both"/>
        <w:textAlignment w:val="center"/>
        <w:rPr>
          <w:rFonts w:cstheme="minorHAnsi"/>
        </w:rPr>
      </w:pPr>
      <w:r>
        <w:rPr>
          <w:rFonts w:cstheme="minorHAnsi"/>
          <w:lang w:val="fr"/>
        </w:rPr>
        <w:t xml:space="preserve">Le Royaume-Uni a perdu sa place de premier marché d’exportation hors UE (part de 2,5 %), au profit des États-Unis (part de 2,9 %), conséquence de la hausse de 13 % des exportations vers le marché américain ; ce, alors que dans le même temps, les exportations vers le Royaume-Uni ont diminué de 10,6 %.  </w:t>
      </w:r>
    </w:p>
    <w:p w14:paraId="3C50606D" w14:textId="77777777" w:rsidR="00E10228" w:rsidRPr="00C76BD1" w:rsidRDefault="00E10228" w:rsidP="00E10228">
      <w:pPr>
        <w:autoSpaceDE w:val="0"/>
        <w:autoSpaceDN w:val="0"/>
        <w:adjustRightInd w:val="0"/>
        <w:spacing w:after="0" w:line="240" w:lineRule="auto"/>
        <w:jc w:val="both"/>
        <w:textAlignment w:val="center"/>
        <w:rPr>
          <w:rFonts w:cstheme="minorHAnsi"/>
        </w:rPr>
      </w:pPr>
    </w:p>
    <w:p w14:paraId="7290070B" w14:textId="77777777" w:rsidR="00E10228" w:rsidRPr="00C76BD1" w:rsidRDefault="00E10228" w:rsidP="00E10228">
      <w:pPr>
        <w:autoSpaceDE w:val="0"/>
        <w:autoSpaceDN w:val="0"/>
        <w:adjustRightInd w:val="0"/>
        <w:spacing w:after="0" w:line="240" w:lineRule="auto"/>
        <w:jc w:val="both"/>
        <w:textAlignment w:val="center"/>
      </w:pPr>
      <w:r w:rsidRPr="1C83DAF5">
        <w:rPr>
          <w:lang w:val="fr"/>
        </w:rPr>
        <w:t xml:space="preserve">Durant le premier semestre 2024, les exportations de meubles sont restées stables (+0,4 %). Les livraisons sur le marché européen ont cependant baissé de 1,9 % : -13,0 % </w:t>
      </w:r>
      <w:r>
        <w:rPr>
          <w:lang w:val="fr"/>
        </w:rPr>
        <w:t>pour</w:t>
      </w:r>
      <w:r w:rsidRPr="1C83DAF5">
        <w:rPr>
          <w:lang w:val="fr"/>
        </w:rPr>
        <w:t xml:space="preserve"> la France, -11,5 % </w:t>
      </w:r>
      <w:r>
        <w:rPr>
          <w:lang w:val="fr"/>
        </w:rPr>
        <w:t>pour</w:t>
      </w:r>
      <w:r w:rsidRPr="1C83DAF5">
        <w:rPr>
          <w:lang w:val="fr"/>
        </w:rPr>
        <w:t xml:space="preserve"> les Pays-Bas. Étant donné que les exportations vers l’Allemagne ont augmenté de 46,4 %, ce pays est devenu le deuxième débouché principal pour les meubles belges.</w:t>
      </w:r>
    </w:p>
    <w:p w14:paraId="1A6B1BD9" w14:textId="77777777" w:rsidR="00E10228" w:rsidRPr="00C76BD1" w:rsidRDefault="00E10228" w:rsidP="00E10228">
      <w:pPr>
        <w:autoSpaceDE w:val="0"/>
        <w:autoSpaceDN w:val="0"/>
        <w:adjustRightInd w:val="0"/>
        <w:spacing w:after="0" w:line="240" w:lineRule="auto"/>
        <w:jc w:val="both"/>
        <w:textAlignment w:val="center"/>
        <w:rPr>
          <w:rFonts w:cstheme="minorHAnsi"/>
        </w:rPr>
      </w:pPr>
    </w:p>
    <w:p w14:paraId="1A180836" w14:textId="77777777" w:rsidR="00E10228" w:rsidRPr="00C76BD1" w:rsidRDefault="00E10228" w:rsidP="00E10228">
      <w:pPr>
        <w:autoSpaceDE w:val="0"/>
        <w:autoSpaceDN w:val="0"/>
        <w:adjustRightInd w:val="0"/>
        <w:spacing w:after="0" w:line="240" w:lineRule="auto"/>
        <w:jc w:val="both"/>
        <w:textAlignment w:val="center"/>
      </w:pPr>
      <w:r w:rsidRPr="1C83DAF5">
        <w:rPr>
          <w:lang w:val="fr"/>
        </w:rPr>
        <w:t xml:space="preserve">En 2023, les importations </w:t>
      </w:r>
      <w:r>
        <w:rPr>
          <w:lang w:val="fr"/>
        </w:rPr>
        <w:t xml:space="preserve">de meubles </w:t>
      </w:r>
      <w:r w:rsidRPr="1C83DAF5">
        <w:rPr>
          <w:lang w:val="fr"/>
        </w:rPr>
        <w:t xml:space="preserve">ont diminué de 12,7 %. La baisse des importations depuis la Chine s’est poursuivie (-8,1 % en 2022 et -14,9 % en 2023). Mais la Chine reste, avec une part de 26,4 %, le principal et très dominant fournisseur de meubles sur notre marché. Les parts néerlandaise (15,9 %) et allemande (12,7 %) dans les importations </w:t>
      </w:r>
      <w:r>
        <w:rPr>
          <w:lang w:val="fr"/>
        </w:rPr>
        <w:t>de meubles</w:t>
      </w:r>
      <w:r w:rsidRPr="1C83DAF5">
        <w:rPr>
          <w:lang w:val="fr"/>
        </w:rPr>
        <w:t xml:space="preserve"> ont diminué, respectivement, de 4,1 % et de 10,2 %. Avec une part de 9,2 %, la Pologne est le quatrième plus grand fournisseur, et </w:t>
      </w:r>
      <w:r>
        <w:rPr>
          <w:lang w:val="fr"/>
        </w:rPr>
        <w:t>elle</w:t>
      </w:r>
      <w:r w:rsidRPr="1C83DAF5">
        <w:rPr>
          <w:lang w:val="fr"/>
        </w:rPr>
        <w:t xml:space="preserve"> a maintenu son niveau (-0,7 %).</w:t>
      </w:r>
    </w:p>
    <w:p w14:paraId="26FFB1D2" w14:textId="77777777" w:rsidR="00E10228" w:rsidRPr="00C76BD1" w:rsidRDefault="00E10228" w:rsidP="00E10228">
      <w:pPr>
        <w:autoSpaceDE w:val="0"/>
        <w:autoSpaceDN w:val="0"/>
        <w:adjustRightInd w:val="0"/>
        <w:spacing w:after="0" w:line="240" w:lineRule="auto"/>
        <w:jc w:val="both"/>
        <w:textAlignment w:val="center"/>
        <w:rPr>
          <w:rFonts w:cstheme="minorHAnsi"/>
        </w:rPr>
      </w:pPr>
    </w:p>
    <w:p w14:paraId="3A559397" w14:textId="77777777" w:rsidR="00E10228" w:rsidRPr="00C76BD1" w:rsidRDefault="00E10228" w:rsidP="00E10228">
      <w:pPr>
        <w:autoSpaceDE w:val="0"/>
        <w:autoSpaceDN w:val="0"/>
        <w:adjustRightInd w:val="0"/>
        <w:spacing w:after="0" w:line="240" w:lineRule="auto"/>
        <w:jc w:val="both"/>
        <w:textAlignment w:val="center"/>
      </w:pPr>
      <w:r w:rsidRPr="1C83DAF5">
        <w:rPr>
          <w:lang w:val="fr"/>
        </w:rPr>
        <w:t xml:space="preserve">Au cours du premier semestre 2024, les importations de meubles ont connu une hausse de 1,1 %. La baisse des importations chinoises a pris fin. Lors du premier semestre 2024, les importations </w:t>
      </w:r>
      <w:r>
        <w:rPr>
          <w:lang w:val="fr"/>
        </w:rPr>
        <w:t>de meubles</w:t>
      </w:r>
      <w:r w:rsidRPr="1C83DAF5">
        <w:rPr>
          <w:lang w:val="fr"/>
        </w:rPr>
        <w:t xml:space="preserve"> depuis la Chine ont </w:t>
      </w:r>
      <w:r>
        <w:rPr>
          <w:lang w:val="fr"/>
        </w:rPr>
        <w:t>augmenté</w:t>
      </w:r>
      <w:r w:rsidRPr="1C83DAF5">
        <w:rPr>
          <w:lang w:val="fr"/>
        </w:rPr>
        <w:t xml:space="preserve"> de 16,2 %, par rapport à la même période en 2023.  </w:t>
      </w:r>
    </w:p>
    <w:p w14:paraId="000BDA95" w14:textId="77777777" w:rsidR="00E10228" w:rsidRPr="00C76BD1" w:rsidRDefault="00E10228" w:rsidP="00E10228">
      <w:pPr>
        <w:suppressAutoHyphens/>
        <w:autoSpaceDE w:val="0"/>
        <w:autoSpaceDN w:val="0"/>
        <w:adjustRightInd w:val="0"/>
        <w:spacing w:before="120" w:after="120" w:line="240" w:lineRule="auto"/>
        <w:contextualSpacing/>
        <w:textAlignment w:val="center"/>
        <w:rPr>
          <w:rFonts w:cstheme="minorHAnsi"/>
          <w:b/>
          <w:bCs/>
          <w:color w:val="000000"/>
        </w:rPr>
      </w:pPr>
    </w:p>
    <w:p w14:paraId="61CD279F" w14:textId="77777777" w:rsidR="00E10228" w:rsidRPr="00C76BD1" w:rsidRDefault="00E10228" w:rsidP="00E10228">
      <w:pPr>
        <w:suppressAutoHyphens/>
        <w:autoSpaceDE w:val="0"/>
        <w:autoSpaceDN w:val="0"/>
        <w:adjustRightInd w:val="0"/>
        <w:spacing w:before="120" w:after="120" w:line="240" w:lineRule="auto"/>
        <w:contextualSpacing/>
        <w:textAlignment w:val="center"/>
        <w:rPr>
          <w:rFonts w:cstheme="minorHAnsi"/>
          <w:b/>
          <w:bCs/>
          <w:color w:val="000000"/>
        </w:rPr>
      </w:pPr>
      <w:r>
        <w:rPr>
          <w:rFonts w:cstheme="minorHAnsi"/>
          <w:b/>
          <w:bCs/>
          <w:color w:val="000000"/>
          <w:lang w:val="fr"/>
        </w:rPr>
        <w:t>INVESTISSEMENTS À LA BAISSE ET TAUX D’UTILISATION EXTRÊMEMENT BAS</w:t>
      </w:r>
    </w:p>
    <w:p w14:paraId="1675E006" w14:textId="77777777" w:rsidR="00E10228" w:rsidRPr="00C76BD1" w:rsidRDefault="00E10228" w:rsidP="00E10228">
      <w:pPr>
        <w:suppressAutoHyphens/>
        <w:autoSpaceDE w:val="0"/>
        <w:autoSpaceDN w:val="0"/>
        <w:adjustRightInd w:val="0"/>
        <w:spacing w:before="120" w:after="120" w:line="240" w:lineRule="auto"/>
        <w:contextualSpacing/>
        <w:textAlignment w:val="center"/>
        <w:rPr>
          <w:rFonts w:cstheme="minorHAnsi"/>
          <w:b/>
          <w:bCs/>
          <w:color w:val="000000"/>
        </w:rPr>
      </w:pPr>
    </w:p>
    <w:p w14:paraId="431FFE73" w14:textId="77777777" w:rsidR="00E10228" w:rsidRPr="00C76BD1" w:rsidRDefault="00E10228" w:rsidP="00E10228">
      <w:pPr>
        <w:tabs>
          <w:tab w:val="left" w:pos="3884"/>
        </w:tabs>
        <w:autoSpaceDE w:val="0"/>
        <w:autoSpaceDN w:val="0"/>
        <w:adjustRightInd w:val="0"/>
        <w:spacing w:before="120" w:after="120" w:line="240" w:lineRule="auto"/>
        <w:ind w:right="28"/>
        <w:contextualSpacing/>
        <w:jc w:val="both"/>
        <w:textAlignment w:val="center"/>
        <w:rPr>
          <w:color w:val="000000"/>
        </w:rPr>
      </w:pPr>
      <w:r w:rsidRPr="1C83DAF5">
        <w:rPr>
          <w:color w:val="000000" w:themeColor="text1"/>
          <w:lang w:val="fr"/>
        </w:rPr>
        <w:t xml:space="preserve">Le taux d’occupation de la capacité de production a diminué en moyenne de 73,5 %, en 2023, ce qui représente le niveau le plus bas en 10 ans (82,3 % en 2022). Durant le </w:t>
      </w:r>
      <w:r w:rsidRPr="00F3785D">
        <w:rPr>
          <w:lang w:val="fr"/>
        </w:rPr>
        <w:t>premier</w:t>
      </w:r>
      <w:r w:rsidRPr="1C83DAF5">
        <w:rPr>
          <w:color w:val="000000" w:themeColor="text1"/>
          <w:lang w:val="fr"/>
        </w:rPr>
        <w:t xml:space="preserve"> semestre 2024, le taux d’occupation a été de 70,6 %, pour 74,2 % lors du premier semestre 2023. En 2023, les investissements ont à nouveau augmenté de 8 %, par rapport à 2022, et cela pour la troisième année consécutive. Lors du premier semestre 2024, les investissements ont pourtant diminué de 15,8 %, comparativement à la même période en 2023.  </w:t>
      </w:r>
    </w:p>
    <w:p w14:paraId="3D716B6D" w14:textId="77777777" w:rsidR="00E10228" w:rsidRPr="00A93CEA" w:rsidRDefault="00E10228" w:rsidP="00E10228">
      <w:pPr>
        <w:tabs>
          <w:tab w:val="left" w:pos="3884"/>
        </w:tabs>
        <w:autoSpaceDE w:val="0"/>
        <w:autoSpaceDN w:val="0"/>
        <w:adjustRightInd w:val="0"/>
        <w:spacing w:before="120" w:after="120" w:line="240" w:lineRule="auto"/>
        <w:ind w:right="28"/>
        <w:contextualSpacing/>
        <w:textAlignment w:val="center"/>
        <w:rPr>
          <w:rFonts w:cstheme="minorHAnsi"/>
          <w:color w:val="000000"/>
          <w:lang w:val="nl-NL"/>
        </w:rPr>
      </w:pPr>
      <w:r w:rsidRPr="00A81DD0">
        <w:rPr>
          <w:rFonts w:cstheme="minorHAnsi"/>
          <w:noProof/>
          <w:sz w:val="10"/>
        </w:rPr>
        <w:lastRenderedPageBreak/>
        <w:drawing>
          <wp:inline distT="0" distB="0" distL="0" distR="0" wp14:anchorId="3AE6701A" wp14:editId="356779ED">
            <wp:extent cx="5759532" cy="2547257"/>
            <wp:effectExtent l="0" t="0" r="0" b="0"/>
            <wp:docPr id="14" name="Grafie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33312C8" w14:textId="77777777" w:rsidR="00E10228" w:rsidRDefault="00E10228" w:rsidP="00E10228">
      <w:pPr>
        <w:suppressAutoHyphens/>
        <w:autoSpaceDE w:val="0"/>
        <w:autoSpaceDN w:val="0"/>
        <w:adjustRightInd w:val="0"/>
        <w:spacing w:before="120" w:after="120" w:line="240" w:lineRule="auto"/>
        <w:contextualSpacing/>
        <w:textAlignment w:val="center"/>
        <w:rPr>
          <w:rFonts w:cstheme="minorHAnsi"/>
          <w:b/>
          <w:bCs/>
          <w:color w:val="000000"/>
          <w:lang w:val="fr"/>
        </w:rPr>
      </w:pPr>
    </w:p>
    <w:p w14:paraId="196468DC" w14:textId="77777777" w:rsidR="00E10228" w:rsidRPr="00C76BD1" w:rsidRDefault="00E10228" w:rsidP="00E10228">
      <w:pPr>
        <w:suppressAutoHyphens/>
        <w:autoSpaceDE w:val="0"/>
        <w:autoSpaceDN w:val="0"/>
        <w:adjustRightInd w:val="0"/>
        <w:spacing w:before="120" w:after="120" w:line="240" w:lineRule="auto"/>
        <w:contextualSpacing/>
        <w:textAlignment w:val="center"/>
        <w:rPr>
          <w:rFonts w:cstheme="minorHAnsi"/>
          <w:b/>
          <w:bCs/>
          <w:color w:val="000000"/>
        </w:rPr>
      </w:pPr>
      <w:r w:rsidRPr="00A93CEA">
        <w:rPr>
          <w:rFonts w:cstheme="minorHAnsi"/>
          <w:b/>
          <w:bCs/>
          <w:color w:val="000000"/>
          <w:lang w:val="fr"/>
        </w:rPr>
        <w:t>BAISSE DE L’EMPLOI</w:t>
      </w:r>
    </w:p>
    <w:p w14:paraId="3C179078" w14:textId="77777777" w:rsidR="00E10228" w:rsidRPr="00C76BD1" w:rsidRDefault="00E10228" w:rsidP="00E10228">
      <w:pPr>
        <w:suppressAutoHyphens/>
        <w:autoSpaceDE w:val="0"/>
        <w:autoSpaceDN w:val="0"/>
        <w:adjustRightInd w:val="0"/>
        <w:spacing w:before="120" w:after="120" w:line="240" w:lineRule="auto"/>
        <w:contextualSpacing/>
        <w:textAlignment w:val="center"/>
        <w:rPr>
          <w:rFonts w:cstheme="minorHAnsi"/>
          <w:b/>
          <w:bCs/>
          <w:color w:val="000000"/>
        </w:rPr>
      </w:pPr>
    </w:p>
    <w:p w14:paraId="6F0E2F8C" w14:textId="77777777" w:rsidR="00E10228" w:rsidRPr="00C76BD1" w:rsidRDefault="00E10228" w:rsidP="00E10228">
      <w:pPr>
        <w:autoSpaceDE w:val="0"/>
        <w:autoSpaceDN w:val="0"/>
        <w:adjustRightInd w:val="0"/>
        <w:spacing w:before="120" w:after="120" w:line="240" w:lineRule="auto"/>
        <w:contextualSpacing/>
        <w:jc w:val="both"/>
        <w:textAlignment w:val="center"/>
      </w:pPr>
      <w:r w:rsidRPr="1C83DAF5">
        <w:rPr>
          <w:color w:val="000000" w:themeColor="text1"/>
          <w:lang w:val="fr"/>
        </w:rPr>
        <w:t xml:space="preserve">En 2023, 9 559 employés étaient actifs dans l’industrie de l’ameublement. Par rapport à 2022, cela correspond à une diminution </w:t>
      </w:r>
      <w:r>
        <w:rPr>
          <w:lang w:val="fr"/>
        </w:rPr>
        <w:t xml:space="preserve">de 204 employés – soit de 2,1 % –, suite à des faillites. Durant le premier trimestre 2024, l’emploi a continué à baisser, le nombre d’employés descendant à 8 933 ; ce qui signifie -8,9 %, vis-à-vis de la même période en 2023.   </w:t>
      </w:r>
    </w:p>
    <w:p w14:paraId="0E42F38A" w14:textId="77777777" w:rsidR="00E10228" w:rsidRPr="00C76BD1" w:rsidRDefault="00E10228" w:rsidP="00E10228">
      <w:pPr>
        <w:autoSpaceDE w:val="0"/>
        <w:autoSpaceDN w:val="0"/>
        <w:adjustRightInd w:val="0"/>
        <w:spacing w:before="120" w:after="120" w:line="240" w:lineRule="auto"/>
        <w:contextualSpacing/>
        <w:jc w:val="both"/>
        <w:textAlignment w:val="center"/>
        <w:rPr>
          <w:rFonts w:cstheme="minorHAnsi"/>
          <w:color w:val="000000"/>
        </w:rPr>
      </w:pPr>
    </w:p>
    <w:p w14:paraId="3985BB57" w14:textId="77777777" w:rsidR="00E10228" w:rsidRPr="00C76BD1" w:rsidRDefault="00E10228" w:rsidP="00E10228">
      <w:pPr>
        <w:autoSpaceDE w:val="0"/>
        <w:autoSpaceDN w:val="0"/>
        <w:adjustRightInd w:val="0"/>
        <w:spacing w:before="120" w:after="120" w:line="240" w:lineRule="auto"/>
        <w:contextualSpacing/>
        <w:jc w:val="both"/>
        <w:textAlignment w:val="center"/>
        <w:rPr>
          <w:rFonts w:cstheme="minorHAnsi"/>
          <w:b/>
          <w:bCs/>
          <w:color w:val="000000"/>
        </w:rPr>
      </w:pPr>
      <w:r>
        <w:rPr>
          <w:rFonts w:cstheme="minorHAnsi"/>
          <w:b/>
          <w:bCs/>
          <w:color w:val="000000"/>
          <w:lang w:val="fr"/>
        </w:rPr>
        <w:t>ÉVOLUTIONS DANS LE MARCHÉ DE L’AMEUBLEMENT</w:t>
      </w:r>
    </w:p>
    <w:p w14:paraId="5A70DA03" w14:textId="77777777" w:rsidR="00E10228" w:rsidRPr="00C76BD1" w:rsidRDefault="00E10228" w:rsidP="00E10228">
      <w:pPr>
        <w:autoSpaceDE w:val="0"/>
        <w:autoSpaceDN w:val="0"/>
        <w:adjustRightInd w:val="0"/>
        <w:spacing w:before="120" w:after="120" w:line="240" w:lineRule="auto"/>
        <w:contextualSpacing/>
        <w:jc w:val="both"/>
        <w:textAlignment w:val="center"/>
        <w:rPr>
          <w:rFonts w:cstheme="minorHAnsi"/>
          <w:b/>
          <w:bCs/>
          <w:color w:val="000000"/>
        </w:rPr>
      </w:pPr>
    </w:p>
    <w:p w14:paraId="36688406" w14:textId="77777777" w:rsidR="00E10228" w:rsidRDefault="00E10228" w:rsidP="00E10228">
      <w:pPr>
        <w:autoSpaceDE w:val="0"/>
        <w:autoSpaceDN w:val="0"/>
        <w:adjustRightInd w:val="0"/>
        <w:spacing w:before="120" w:after="120" w:line="240" w:lineRule="auto"/>
        <w:contextualSpacing/>
        <w:jc w:val="both"/>
        <w:textAlignment w:val="center"/>
        <w:rPr>
          <w:b/>
          <w:bCs/>
          <w:color w:val="000000"/>
          <w:lang w:val="nl-NL"/>
        </w:rPr>
      </w:pPr>
      <w:r>
        <w:rPr>
          <w:noProof/>
        </w:rPr>
        <w:drawing>
          <wp:inline distT="0" distB="0" distL="0" distR="0" wp14:anchorId="5DBD42D3" wp14:editId="40B98EAA">
            <wp:extent cx="5760720" cy="2713990"/>
            <wp:effectExtent l="0" t="0" r="11430" b="10160"/>
            <wp:docPr id="720551547" name="Grafiek 1">
              <a:extLst xmlns:a="http://schemas.openxmlformats.org/drawingml/2006/main">
                <a:ext uri="{FF2B5EF4-FFF2-40B4-BE49-F238E27FC236}">
                  <a16:creationId xmlns:a16="http://schemas.microsoft.com/office/drawing/2014/main" id="{E1F1318F-75CD-2F73-53AC-5463457948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9DB956" w14:textId="77777777" w:rsidR="00E10228" w:rsidRPr="00C76BD1" w:rsidRDefault="00E10228" w:rsidP="00E10228">
      <w:pPr>
        <w:autoSpaceDE w:val="0"/>
        <w:autoSpaceDN w:val="0"/>
        <w:adjustRightInd w:val="0"/>
        <w:spacing w:before="120" w:after="120" w:line="240" w:lineRule="auto"/>
        <w:contextualSpacing/>
        <w:jc w:val="both"/>
        <w:textAlignment w:val="center"/>
        <w:rPr>
          <w:rFonts w:cstheme="minorHAnsi"/>
          <w:color w:val="000000"/>
        </w:rPr>
      </w:pPr>
      <w:r w:rsidRPr="00CC46B2">
        <w:rPr>
          <w:rFonts w:cstheme="minorHAnsi"/>
          <w:color w:val="000000"/>
          <w:lang w:val="fr"/>
        </w:rPr>
        <w:t xml:space="preserve">Source : </w:t>
      </w:r>
      <w:r>
        <w:rPr>
          <w:rFonts w:cstheme="minorHAnsi"/>
          <w:color w:val="000000"/>
          <w:lang w:val="fr"/>
        </w:rPr>
        <w:t>Banque Nationale de Belgique</w:t>
      </w:r>
      <w:r w:rsidRPr="00CC46B2">
        <w:rPr>
          <w:rFonts w:cstheme="minorHAnsi"/>
          <w:color w:val="000000"/>
          <w:lang w:val="fr"/>
        </w:rPr>
        <w:t>.</w:t>
      </w:r>
    </w:p>
    <w:p w14:paraId="57DC0C4E" w14:textId="77777777" w:rsidR="00E10228" w:rsidRPr="00C76BD1" w:rsidRDefault="00E10228" w:rsidP="00E10228">
      <w:pPr>
        <w:autoSpaceDE w:val="0"/>
        <w:autoSpaceDN w:val="0"/>
        <w:adjustRightInd w:val="0"/>
        <w:spacing w:before="120" w:after="120" w:line="240" w:lineRule="auto"/>
        <w:contextualSpacing/>
        <w:jc w:val="both"/>
        <w:textAlignment w:val="center"/>
        <w:rPr>
          <w:rFonts w:cstheme="minorHAnsi"/>
          <w:b/>
          <w:bCs/>
          <w:color w:val="000000"/>
        </w:rPr>
      </w:pPr>
    </w:p>
    <w:p w14:paraId="2FD0F40A" w14:textId="77777777" w:rsidR="00E10228" w:rsidRPr="00C76BD1" w:rsidRDefault="00E10228" w:rsidP="00E10228">
      <w:pPr>
        <w:autoSpaceDE w:val="0"/>
        <w:autoSpaceDN w:val="0"/>
        <w:adjustRightInd w:val="0"/>
        <w:spacing w:before="120" w:after="120" w:line="240" w:lineRule="auto"/>
        <w:contextualSpacing/>
        <w:jc w:val="both"/>
        <w:textAlignment w:val="center"/>
        <w:rPr>
          <w:color w:val="000000"/>
        </w:rPr>
      </w:pPr>
      <w:r w:rsidRPr="1C83DAF5">
        <w:rPr>
          <w:color w:val="000000" w:themeColor="text1"/>
          <w:lang w:val="fr"/>
        </w:rPr>
        <w:t xml:space="preserve">Le niveau des commandes dans le </w:t>
      </w:r>
      <w:r>
        <w:rPr>
          <w:color w:val="000000" w:themeColor="text1"/>
          <w:lang w:val="fr"/>
        </w:rPr>
        <w:t>négoce de meubles</w:t>
      </w:r>
      <w:r w:rsidRPr="1C83DAF5">
        <w:rPr>
          <w:color w:val="000000" w:themeColor="text1"/>
          <w:lang w:val="fr"/>
        </w:rPr>
        <w:t xml:space="preserve"> reste faible en 2024. Au cours des quatre premiers mois surtout, ce niveau demeure clairement en</w:t>
      </w:r>
      <w:r>
        <w:rPr>
          <w:color w:val="000000" w:themeColor="text1"/>
          <w:lang w:val="fr"/>
        </w:rPr>
        <w:t xml:space="preserve"> </w:t>
      </w:r>
      <w:r w:rsidRPr="1C83DAF5">
        <w:rPr>
          <w:color w:val="000000" w:themeColor="text1"/>
          <w:lang w:val="fr"/>
        </w:rPr>
        <w:t>dessous de celui de 2023. Cette diminution des commandes s’est observée en juillet-août également.  L’ensemble des commandes des 8 premiers mois sont de 2,8 % inférieures, par rapport à 2023.</w:t>
      </w:r>
    </w:p>
    <w:p w14:paraId="7E2EE617" w14:textId="77777777" w:rsidR="00E10228" w:rsidRPr="00C76BD1" w:rsidRDefault="00E10228" w:rsidP="00E10228">
      <w:pPr>
        <w:autoSpaceDE w:val="0"/>
        <w:autoSpaceDN w:val="0"/>
        <w:adjustRightInd w:val="0"/>
        <w:spacing w:before="120" w:after="120" w:line="240" w:lineRule="auto"/>
        <w:contextualSpacing/>
        <w:jc w:val="both"/>
        <w:textAlignment w:val="center"/>
        <w:rPr>
          <w:rFonts w:cstheme="minorHAnsi"/>
          <w:color w:val="000000"/>
        </w:rPr>
      </w:pPr>
    </w:p>
    <w:p w14:paraId="683E04FA" w14:textId="77777777" w:rsidR="00E10228" w:rsidRPr="00C76BD1" w:rsidRDefault="00E10228" w:rsidP="00E10228">
      <w:pPr>
        <w:autoSpaceDE w:val="0"/>
        <w:autoSpaceDN w:val="0"/>
        <w:adjustRightInd w:val="0"/>
        <w:spacing w:before="120" w:after="120" w:line="240" w:lineRule="auto"/>
        <w:contextualSpacing/>
        <w:textAlignment w:val="center"/>
        <w:rPr>
          <w:b/>
          <w:bCs/>
          <w:color w:val="000000"/>
        </w:rPr>
      </w:pPr>
      <w:r w:rsidRPr="1C83DAF5">
        <w:rPr>
          <w:b/>
          <w:bCs/>
          <w:color w:val="000000" w:themeColor="text1"/>
          <w:lang w:val="fr"/>
        </w:rPr>
        <w:t>PERSPECTIVES 2</w:t>
      </w:r>
      <w:r w:rsidRPr="1C83DAF5">
        <w:rPr>
          <w:b/>
          <w:bCs/>
          <w:color w:val="000000" w:themeColor="text1"/>
          <w:vertAlign w:val="superscript"/>
          <w:lang w:val="fr"/>
        </w:rPr>
        <w:t>e</w:t>
      </w:r>
      <w:r w:rsidRPr="1C83DAF5">
        <w:rPr>
          <w:b/>
          <w:bCs/>
          <w:color w:val="000000" w:themeColor="text1"/>
          <w:lang w:val="fr"/>
        </w:rPr>
        <w:t xml:space="preserve"> SEMESTRE 2024 : TOUT AU PLUS, STABILISATION </w:t>
      </w:r>
      <w:r>
        <w:rPr>
          <w:b/>
          <w:bCs/>
          <w:color w:val="000000" w:themeColor="text1"/>
          <w:lang w:val="fr"/>
        </w:rPr>
        <w:t>À UN</w:t>
      </w:r>
      <w:r w:rsidRPr="1C83DAF5">
        <w:rPr>
          <w:b/>
          <w:bCs/>
          <w:color w:val="000000" w:themeColor="text1"/>
          <w:lang w:val="fr"/>
        </w:rPr>
        <w:t xml:space="preserve"> NIVEAU</w:t>
      </w:r>
      <w:r>
        <w:rPr>
          <w:b/>
          <w:bCs/>
          <w:color w:val="000000" w:themeColor="text1"/>
          <w:lang w:val="fr"/>
        </w:rPr>
        <w:t xml:space="preserve"> BAS</w:t>
      </w:r>
      <w:r w:rsidRPr="1C83DAF5">
        <w:rPr>
          <w:b/>
          <w:bCs/>
          <w:color w:val="000000" w:themeColor="text1"/>
          <w:lang w:val="fr"/>
        </w:rPr>
        <w:t xml:space="preserve"> </w:t>
      </w:r>
    </w:p>
    <w:p w14:paraId="2E51D824" w14:textId="77777777" w:rsidR="00E10228" w:rsidRPr="00C76BD1" w:rsidRDefault="00E10228" w:rsidP="00E10228">
      <w:pPr>
        <w:autoSpaceDE w:val="0"/>
        <w:autoSpaceDN w:val="0"/>
        <w:adjustRightInd w:val="0"/>
        <w:spacing w:before="120" w:after="120" w:line="240" w:lineRule="auto"/>
        <w:contextualSpacing/>
        <w:textAlignment w:val="center"/>
        <w:rPr>
          <w:rFonts w:cstheme="minorHAnsi"/>
          <w:b/>
          <w:bCs/>
          <w:color w:val="000000"/>
          <w:sz w:val="20"/>
          <w:szCs w:val="20"/>
        </w:rPr>
      </w:pPr>
    </w:p>
    <w:p w14:paraId="14DDB772" w14:textId="77777777" w:rsidR="00E10228" w:rsidRPr="00C76BD1" w:rsidRDefault="00E10228" w:rsidP="00E10228">
      <w:pPr>
        <w:tabs>
          <w:tab w:val="left" w:pos="3884"/>
        </w:tabs>
        <w:autoSpaceDE w:val="0"/>
        <w:autoSpaceDN w:val="0"/>
        <w:adjustRightInd w:val="0"/>
        <w:spacing w:before="120" w:after="120" w:line="240" w:lineRule="auto"/>
        <w:ind w:right="28"/>
        <w:contextualSpacing/>
        <w:jc w:val="both"/>
        <w:textAlignment w:val="center"/>
      </w:pPr>
      <w:r>
        <w:rPr>
          <w:lang w:val="fr"/>
        </w:rPr>
        <w:t xml:space="preserve">Après une dépression historique milieu 2022, en conséquence de la crise énergétique, la confiance des consommateurs belges comme européens s’est rétablie en 2023. Pendant les 9 premiers mois de </w:t>
      </w:r>
      <w:r>
        <w:rPr>
          <w:lang w:val="fr"/>
        </w:rPr>
        <w:lastRenderedPageBreak/>
        <w:t xml:space="preserve">2024, la confiance des consommateurs de Belgique et d’Europe a été généralement plus haute qu’en 2023.  </w:t>
      </w:r>
    </w:p>
    <w:p w14:paraId="18D34624" w14:textId="77777777" w:rsidR="00E10228" w:rsidRPr="00C76BD1" w:rsidRDefault="00E10228" w:rsidP="00E10228">
      <w:pPr>
        <w:tabs>
          <w:tab w:val="left" w:pos="3884"/>
        </w:tabs>
        <w:autoSpaceDE w:val="0"/>
        <w:autoSpaceDN w:val="0"/>
        <w:adjustRightInd w:val="0"/>
        <w:spacing w:before="120" w:after="120" w:line="240" w:lineRule="auto"/>
        <w:ind w:right="28"/>
        <w:contextualSpacing/>
        <w:jc w:val="both"/>
        <w:textAlignment w:val="center"/>
      </w:pPr>
    </w:p>
    <w:p w14:paraId="7C368F9E" w14:textId="77777777" w:rsidR="00E10228" w:rsidRDefault="00E10228" w:rsidP="00E10228">
      <w:pPr>
        <w:tabs>
          <w:tab w:val="left" w:pos="3884"/>
        </w:tabs>
        <w:autoSpaceDE w:val="0"/>
        <w:autoSpaceDN w:val="0"/>
        <w:adjustRightInd w:val="0"/>
        <w:spacing w:before="120" w:after="120" w:line="240" w:lineRule="auto"/>
        <w:ind w:right="28"/>
        <w:contextualSpacing/>
        <w:jc w:val="both"/>
        <w:textAlignment w:val="center"/>
      </w:pPr>
      <w:r w:rsidRPr="00143B5F">
        <w:rPr>
          <w:noProof/>
        </w:rPr>
        <w:drawing>
          <wp:inline distT="0" distB="0" distL="0" distR="0" wp14:anchorId="29A2ECD2" wp14:editId="6A63FEB1">
            <wp:extent cx="5694045" cy="3664223"/>
            <wp:effectExtent l="0" t="0" r="1905" b="0"/>
            <wp:docPr id="4" name="Afbeelding 3" descr="Afbeelding met tekst, schermopname, Perceel&#10;&#10;Automatisch gegenereerde beschrijving">
              <a:extLst xmlns:a="http://schemas.openxmlformats.org/drawingml/2006/main">
                <a:ext uri="{FF2B5EF4-FFF2-40B4-BE49-F238E27FC236}">
                  <a16:creationId xmlns:a16="http://schemas.microsoft.com/office/drawing/2014/main" id="{BD3ABC0C-8478-A154-D0ED-1AF83F2238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783900" name="Afbeelding 3" descr="Afbeelding met tekst, schermopname, Perceel&#10;&#10;Automatisch gegenereerde beschrijving">
                      <a:extLst>
                        <a:ext uri="{FF2B5EF4-FFF2-40B4-BE49-F238E27FC236}">
                          <a16:creationId xmlns:a16="http://schemas.microsoft.com/office/drawing/2014/main" id="{BD3ABC0C-8478-A154-D0ED-1AF83F2238F5}"/>
                        </a:ext>
                      </a:extLst>
                    </pic:cNvPr>
                    <pic:cNvPicPr>
                      <a:picLocks noChangeAspect="1"/>
                    </pic:cNvPicPr>
                  </pic:nvPicPr>
                  <pic:blipFill>
                    <a:blip r:embed="rId11"/>
                    <a:stretch>
                      <a:fillRect/>
                    </a:stretch>
                  </pic:blipFill>
                  <pic:spPr>
                    <a:xfrm>
                      <a:off x="0" y="0"/>
                      <a:ext cx="5694045" cy="3664223"/>
                    </a:xfrm>
                    <a:prstGeom prst="rect">
                      <a:avLst/>
                    </a:prstGeom>
                  </pic:spPr>
                </pic:pic>
              </a:graphicData>
            </a:graphic>
          </wp:inline>
        </w:drawing>
      </w:r>
    </w:p>
    <w:p w14:paraId="5430979C" w14:textId="77777777" w:rsidR="00E10228" w:rsidRPr="00C76BD1" w:rsidRDefault="00E10228" w:rsidP="00E10228">
      <w:pPr>
        <w:spacing w:line="257" w:lineRule="auto"/>
        <w:jc w:val="both"/>
        <w:rPr>
          <w:rFonts w:cstheme="minorHAnsi"/>
          <w:color w:val="000000"/>
        </w:rPr>
      </w:pPr>
      <w:r w:rsidRPr="00521BCA">
        <w:rPr>
          <w:rFonts w:cstheme="minorHAnsi"/>
          <w:color w:val="000000"/>
          <w:lang w:val="fr"/>
        </w:rPr>
        <w:t xml:space="preserve">La courbe conjoncturelle de l’industrie du meuble, qui reflète la confiance évoquée et qui précède, de 3 mois environ, l’activité économique réelle, reste début 2024 à un niveau extrêmement bas.  En août-septembre, la confiance des consommateurs s’est nettement améliorée.  </w:t>
      </w:r>
    </w:p>
    <w:p w14:paraId="67351536" w14:textId="77777777" w:rsidR="00E10228" w:rsidRPr="00C76BD1" w:rsidRDefault="00E10228" w:rsidP="00E10228">
      <w:pPr>
        <w:autoSpaceDE w:val="0"/>
        <w:autoSpaceDN w:val="0"/>
        <w:adjustRightInd w:val="0"/>
        <w:spacing w:before="120" w:after="120" w:line="240" w:lineRule="auto"/>
        <w:contextualSpacing/>
        <w:jc w:val="center"/>
        <w:textAlignment w:val="center"/>
        <w:rPr>
          <w:rFonts w:cstheme="minorHAnsi"/>
          <w:b/>
          <w:bCs/>
          <w:color w:val="000000"/>
        </w:rPr>
      </w:pPr>
      <w:r w:rsidRPr="006B0732">
        <w:rPr>
          <w:rFonts w:cstheme="minorHAnsi"/>
          <w:b/>
          <w:bCs/>
          <w:color w:val="000000"/>
          <w:sz w:val="24"/>
          <w:szCs w:val="24"/>
          <w:lang w:val="fr"/>
        </w:rPr>
        <w:t>Courbe conjoncturelle synthétique de l’industrie de l’ameublement</w:t>
      </w:r>
      <w:r>
        <w:rPr>
          <w:noProof/>
        </w:rPr>
        <w:drawing>
          <wp:inline distT="0" distB="0" distL="0" distR="0" wp14:anchorId="192EB44E" wp14:editId="2FC7CC4F">
            <wp:extent cx="2675733" cy="1699679"/>
            <wp:effectExtent l="0" t="0" r="0" b="0"/>
            <wp:docPr id="2083350543" name="Afbeelding 1" descr="Afbeelding met lijn, Perceel, diagram,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095052" name="Afbeelding 1" descr="Afbeelding met lijn, Perceel, diagram, nummer&#10;&#10;Automatisch gegenereerde beschrijving"/>
                    <pic:cNvPicPr/>
                  </pic:nvPicPr>
                  <pic:blipFill>
                    <a:blip r:embed="rId12"/>
                    <a:stretch>
                      <a:fillRect/>
                    </a:stretch>
                  </pic:blipFill>
                  <pic:spPr>
                    <a:xfrm>
                      <a:off x="0" y="0"/>
                      <a:ext cx="2681175" cy="1703136"/>
                    </a:xfrm>
                    <a:prstGeom prst="rect">
                      <a:avLst/>
                    </a:prstGeom>
                  </pic:spPr>
                </pic:pic>
              </a:graphicData>
            </a:graphic>
          </wp:inline>
        </w:drawing>
      </w:r>
      <w:r w:rsidRPr="002C5C92">
        <w:rPr>
          <w:noProof/>
        </w:rPr>
        <w:drawing>
          <wp:inline distT="0" distB="0" distL="0" distR="0" wp14:anchorId="1EF5C07A" wp14:editId="54E5D0A0">
            <wp:extent cx="3452091" cy="1905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88290" cy="192498"/>
                    </a:xfrm>
                    <a:prstGeom prst="rect">
                      <a:avLst/>
                    </a:prstGeom>
                  </pic:spPr>
                </pic:pic>
              </a:graphicData>
            </a:graphic>
          </wp:inline>
        </w:drawing>
      </w:r>
    </w:p>
    <w:p w14:paraId="7A7B94C7" w14:textId="77777777" w:rsidR="00E10228" w:rsidRPr="00C76BD1" w:rsidRDefault="00E10228" w:rsidP="00E10228">
      <w:pPr>
        <w:autoSpaceDE w:val="0"/>
        <w:autoSpaceDN w:val="0"/>
        <w:adjustRightInd w:val="0"/>
        <w:spacing w:before="120" w:after="120" w:line="240" w:lineRule="auto"/>
        <w:contextualSpacing/>
        <w:jc w:val="center"/>
        <w:textAlignment w:val="center"/>
        <w:rPr>
          <w:b/>
          <w:bCs/>
          <w:color w:val="000000"/>
        </w:rPr>
      </w:pPr>
      <w:r w:rsidRPr="1C83DAF5">
        <w:rPr>
          <w:b/>
          <w:bCs/>
          <w:color w:val="000000" w:themeColor="text1"/>
          <w:lang w:val="fr"/>
        </w:rPr>
        <w:t>Source : NBB</w:t>
      </w:r>
    </w:p>
    <w:p w14:paraId="7207802A" w14:textId="77777777" w:rsidR="00E10228" w:rsidRPr="00C76BD1" w:rsidRDefault="00E10228" w:rsidP="00E10228">
      <w:pPr>
        <w:autoSpaceDE w:val="0"/>
        <w:autoSpaceDN w:val="0"/>
        <w:adjustRightInd w:val="0"/>
        <w:spacing w:before="120" w:after="120" w:line="240" w:lineRule="auto"/>
        <w:contextualSpacing/>
        <w:textAlignment w:val="center"/>
        <w:rPr>
          <w:rFonts w:cstheme="minorHAnsi"/>
          <w:b/>
          <w:bCs/>
          <w:color w:val="000000"/>
        </w:rPr>
      </w:pPr>
    </w:p>
    <w:p w14:paraId="24CCBE6D" w14:textId="77777777" w:rsidR="00E10228" w:rsidRPr="00C76BD1" w:rsidRDefault="00E10228" w:rsidP="00E10228">
      <w:pPr>
        <w:spacing w:line="257" w:lineRule="auto"/>
        <w:jc w:val="both"/>
        <w:rPr>
          <w:color w:val="000000"/>
        </w:rPr>
      </w:pPr>
      <w:r w:rsidRPr="1C83DAF5">
        <w:rPr>
          <w:rFonts w:ascii="Calibri" w:eastAsia="Calibri" w:hAnsi="Calibri" w:cs="Calibri"/>
          <w:lang w:val="fr"/>
        </w:rPr>
        <w:t xml:space="preserve">Les taux hypothécaires élevés et les prix accrus ont rendu la construction considérablement plus chère. Selon les prévisions, l’activité du secteur immobilier ne se rétablira pas encore et continuera légèrement à baisser, en 2024 ; avec le contrecoup que cela implique pour l’industrie de l’ameublement.  </w:t>
      </w:r>
    </w:p>
    <w:p w14:paraId="5DB2161D" w14:textId="77777777" w:rsidR="00E10228" w:rsidRPr="00C76BD1" w:rsidRDefault="00E10228" w:rsidP="00E10228">
      <w:pPr>
        <w:spacing w:line="257" w:lineRule="auto"/>
        <w:jc w:val="both"/>
        <w:rPr>
          <w:color w:val="000000"/>
        </w:rPr>
      </w:pPr>
      <w:r w:rsidRPr="1C83DAF5">
        <w:rPr>
          <w:color w:val="000000" w:themeColor="text1"/>
          <w:lang w:val="fr"/>
        </w:rPr>
        <w:t>Le rétablissement européen attendu et la stimulation consécutive espérée, au cours de la seconde moitié de cette année, pourraient avoir un impact positif sur les exportations de meubles. L’affaiblissement de la compétitivité rend toutefois nos entreprises moins concur</w:t>
      </w:r>
      <w:r>
        <w:rPr>
          <w:color w:val="000000" w:themeColor="text1"/>
          <w:lang w:val="fr"/>
        </w:rPr>
        <w:t>r</w:t>
      </w:r>
      <w:r w:rsidRPr="1C83DAF5">
        <w:rPr>
          <w:color w:val="000000" w:themeColor="text1"/>
          <w:lang w:val="fr"/>
        </w:rPr>
        <w:t xml:space="preserve">entielles, sur le marché des exportations. </w:t>
      </w:r>
    </w:p>
    <w:p w14:paraId="4D1CD208" w14:textId="77777777" w:rsidR="00E10228" w:rsidRPr="00C76BD1" w:rsidRDefault="00E10228" w:rsidP="00E10228">
      <w:pPr>
        <w:rPr>
          <w:rFonts w:cstheme="minorHAnsi"/>
          <w:b/>
          <w:bCs/>
          <w:color w:val="000000"/>
        </w:rPr>
      </w:pPr>
      <w:r w:rsidRPr="006219BD">
        <w:rPr>
          <w:rFonts w:cstheme="minorHAnsi"/>
          <w:b/>
          <w:bCs/>
          <w:color w:val="000000"/>
          <w:lang w:val="fr"/>
        </w:rPr>
        <w:lastRenderedPageBreak/>
        <w:t>CHIFFRES IMPORTS-EXPORTS 1</w:t>
      </w:r>
      <w:r w:rsidRPr="00B0501F">
        <w:rPr>
          <w:rFonts w:cstheme="minorHAnsi"/>
          <w:b/>
          <w:bCs/>
          <w:color w:val="000000"/>
          <w:vertAlign w:val="superscript"/>
          <w:lang w:val="fr"/>
        </w:rPr>
        <w:t>er</w:t>
      </w:r>
      <w:r w:rsidRPr="006219BD">
        <w:rPr>
          <w:rFonts w:cstheme="minorHAnsi"/>
          <w:b/>
          <w:bCs/>
          <w:color w:val="000000"/>
          <w:lang w:val="fr"/>
        </w:rPr>
        <w:t xml:space="preserve"> SEM</w:t>
      </w:r>
      <w:r>
        <w:rPr>
          <w:rFonts w:cstheme="minorHAnsi"/>
          <w:b/>
          <w:bCs/>
          <w:color w:val="000000"/>
          <w:lang w:val="fr"/>
        </w:rPr>
        <w:t>ESTRE</w:t>
      </w:r>
      <w:r w:rsidRPr="006219BD">
        <w:rPr>
          <w:rFonts w:cstheme="minorHAnsi"/>
          <w:b/>
          <w:bCs/>
          <w:color w:val="000000"/>
          <w:lang w:val="fr"/>
        </w:rPr>
        <w:t xml:space="preserve"> 2024</w:t>
      </w:r>
    </w:p>
    <w:tbl>
      <w:tblPr>
        <w:tblW w:w="9105" w:type="dxa"/>
        <w:tblLayout w:type="fixed"/>
        <w:tblCellMar>
          <w:left w:w="70" w:type="dxa"/>
          <w:right w:w="70" w:type="dxa"/>
        </w:tblCellMar>
        <w:tblLook w:val="04A0" w:firstRow="1" w:lastRow="0" w:firstColumn="1" w:lastColumn="0" w:noHBand="0" w:noVBand="1"/>
      </w:tblPr>
      <w:tblGrid>
        <w:gridCol w:w="1838"/>
        <w:gridCol w:w="805"/>
        <w:gridCol w:w="896"/>
        <w:gridCol w:w="992"/>
        <w:gridCol w:w="735"/>
        <w:gridCol w:w="638"/>
        <w:gridCol w:w="805"/>
        <w:gridCol w:w="806"/>
        <w:gridCol w:w="806"/>
        <w:gridCol w:w="784"/>
      </w:tblGrid>
      <w:tr w:rsidR="00E10228" w14:paraId="21B7571C" w14:textId="77777777" w:rsidTr="00CF7FFA">
        <w:tc>
          <w:tcPr>
            <w:tcW w:w="1838" w:type="dxa"/>
            <w:tcBorders>
              <w:top w:val="single" w:sz="4" w:space="0" w:color="auto"/>
              <w:left w:val="single" w:sz="4" w:space="0" w:color="auto"/>
              <w:bottom w:val="nil"/>
              <w:right w:val="nil"/>
            </w:tcBorders>
            <w:shd w:val="clear" w:color="auto" w:fill="BFBFBF" w:themeFill="background1" w:themeFillShade="BF"/>
            <w:noWrap/>
            <w:vAlign w:val="bottom"/>
            <w:hideMark/>
          </w:tcPr>
          <w:p w14:paraId="65B2570B" w14:textId="77777777" w:rsidR="00E10228" w:rsidRPr="00C76BD1" w:rsidRDefault="00E10228" w:rsidP="00CF7FFA">
            <w:pPr>
              <w:spacing w:after="0" w:line="240" w:lineRule="auto"/>
              <w:rPr>
                <w:rFonts w:eastAsia="Times New Roman" w:cstheme="minorHAnsi"/>
                <w:b/>
                <w:bCs/>
                <w:color w:val="000000"/>
                <w:sz w:val="14"/>
                <w:szCs w:val="14"/>
                <w:lang w:eastAsia="nl-BE"/>
              </w:rPr>
            </w:pPr>
            <w:r w:rsidRPr="00C76BD1">
              <w:rPr>
                <w:rFonts w:eastAsia="Times New Roman" w:cstheme="minorHAnsi"/>
                <w:b/>
                <w:bCs/>
                <w:color w:val="000000"/>
                <w:sz w:val="14"/>
                <w:szCs w:val="14"/>
                <w:lang w:eastAsia="nl-BE"/>
              </w:rPr>
              <w:t> </w:t>
            </w:r>
          </w:p>
        </w:tc>
        <w:tc>
          <w:tcPr>
            <w:tcW w:w="3428" w:type="dxa"/>
            <w:gridSpan w:val="4"/>
            <w:tcBorders>
              <w:top w:val="single" w:sz="4" w:space="0" w:color="auto"/>
              <w:left w:val="single" w:sz="4" w:space="0" w:color="auto"/>
              <w:bottom w:val="nil"/>
              <w:right w:val="single" w:sz="4" w:space="0" w:color="auto"/>
            </w:tcBorders>
            <w:shd w:val="clear" w:color="auto" w:fill="BFBFBF" w:themeFill="background1" w:themeFillShade="BF"/>
            <w:noWrap/>
            <w:vAlign w:val="bottom"/>
          </w:tcPr>
          <w:p w14:paraId="05C22E8C" w14:textId="77777777" w:rsidR="00E10228" w:rsidRPr="0036109B" w:rsidRDefault="00E10228" w:rsidP="00CF7FFA">
            <w:pPr>
              <w:spacing w:after="0" w:line="240" w:lineRule="auto"/>
              <w:jc w:val="center"/>
              <w:rPr>
                <w:rFonts w:eastAsia="Times New Roman" w:cstheme="minorHAnsi"/>
                <w:b/>
                <w:bCs/>
                <w:color w:val="000000"/>
                <w:sz w:val="14"/>
                <w:szCs w:val="14"/>
                <w:lang w:eastAsia="nl-BE"/>
              </w:rPr>
            </w:pPr>
            <w:r w:rsidRPr="00FF4AA5">
              <w:rPr>
                <w:rFonts w:eastAsia="Times New Roman" w:cstheme="minorHAnsi"/>
                <w:b/>
                <w:bCs/>
                <w:color w:val="000000"/>
                <w:sz w:val="14"/>
                <w:szCs w:val="14"/>
                <w:lang w:val="fr" w:eastAsia="nl-BE"/>
              </w:rPr>
              <w:t>Importations belges</w:t>
            </w:r>
          </w:p>
        </w:tc>
        <w:tc>
          <w:tcPr>
            <w:tcW w:w="3055" w:type="dxa"/>
            <w:gridSpan w:val="4"/>
            <w:tcBorders>
              <w:top w:val="single" w:sz="4" w:space="0" w:color="auto"/>
              <w:left w:val="nil"/>
              <w:bottom w:val="nil"/>
              <w:right w:val="nil"/>
            </w:tcBorders>
            <w:shd w:val="clear" w:color="auto" w:fill="BFBFBF" w:themeFill="background1" w:themeFillShade="BF"/>
            <w:noWrap/>
            <w:vAlign w:val="bottom"/>
          </w:tcPr>
          <w:p w14:paraId="05805368" w14:textId="77777777" w:rsidR="00E10228" w:rsidRPr="0036109B" w:rsidRDefault="00E10228" w:rsidP="00CF7FFA">
            <w:pPr>
              <w:spacing w:after="0" w:line="240" w:lineRule="auto"/>
              <w:jc w:val="center"/>
              <w:rPr>
                <w:rFonts w:eastAsia="Times New Roman" w:cstheme="minorHAnsi"/>
                <w:b/>
                <w:bCs/>
                <w:color w:val="000000"/>
                <w:sz w:val="14"/>
                <w:szCs w:val="14"/>
                <w:lang w:eastAsia="nl-BE"/>
              </w:rPr>
            </w:pPr>
            <w:r w:rsidRPr="00FF4AA5">
              <w:rPr>
                <w:rFonts w:eastAsia="Times New Roman" w:cstheme="minorHAnsi"/>
                <w:b/>
                <w:bCs/>
                <w:color w:val="000000"/>
                <w:sz w:val="14"/>
                <w:szCs w:val="14"/>
                <w:lang w:val="fr" w:eastAsia="nl-BE"/>
              </w:rPr>
              <w:t>Exportations belges</w:t>
            </w:r>
          </w:p>
        </w:tc>
        <w:tc>
          <w:tcPr>
            <w:tcW w:w="784" w:type="dxa"/>
            <w:tcBorders>
              <w:top w:val="single" w:sz="4" w:space="0" w:color="auto"/>
              <w:left w:val="single" w:sz="4" w:space="0" w:color="auto"/>
              <w:bottom w:val="nil"/>
              <w:right w:val="single" w:sz="4" w:space="0" w:color="auto"/>
            </w:tcBorders>
            <w:shd w:val="clear" w:color="auto" w:fill="BFBFBF" w:themeFill="background1" w:themeFillShade="BF"/>
            <w:noWrap/>
            <w:vAlign w:val="bottom"/>
          </w:tcPr>
          <w:p w14:paraId="270C6625" w14:textId="77777777" w:rsidR="00E10228" w:rsidRPr="0036109B" w:rsidRDefault="00E10228" w:rsidP="00CF7FFA">
            <w:pPr>
              <w:spacing w:after="0" w:line="240" w:lineRule="auto"/>
              <w:jc w:val="center"/>
              <w:rPr>
                <w:rFonts w:eastAsia="Times New Roman" w:cstheme="minorHAnsi"/>
                <w:b/>
                <w:bCs/>
                <w:color w:val="000000"/>
                <w:sz w:val="14"/>
                <w:szCs w:val="14"/>
                <w:lang w:eastAsia="nl-BE"/>
              </w:rPr>
            </w:pPr>
            <w:r w:rsidRPr="00FF4AA5">
              <w:rPr>
                <w:rFonts w:eastAsia="Times New Roman" w:cstheme="minorHAnsi"/>
                <w:b/>
                <w:bCs/>
                <w:color w:val="000000"/>
                <w:sz w:val="14"/>
                <w:szCs w:val="14"/>
                <w:lang w:val="fr" w:eastAsia="nl-BE"/>
              </w:rPr>
              <w:t>Couverture</w:t>
            </w:r>
          </w:p>
        </w:tc>
      </w:tr>
      <w:tr w:rsidR="00E10228" w14:paraId="366EC1C5" w14:textId="77777777" w:rsidTr="00CF7FFA">
        <w:tc>
          <w:tcPr>
            <w:tcW w:w="1838" w:type="dxa"/>
            <w:tcBorders>
              <w:top w:val="nil"/>
              <w:left w:val="single" w:sz="4" w:space="0" w:color="auto"/>
              <w:bottom w:val="nil"/>
              <w:right w:val="nil"/>
            </w:tcBorders>
            <w:shd w:val="clear" w:color="auto" w:fill="BFBFBF" w:themeFill="background1" w:themeFillShade="BF"/>
            <w:noWrap/>
            <w:vAlign w:val="bottom"/>
          </w:tcPr>
          <w:p w14:paraId="11959375" w14:textId="77777777" w:rsidR="00E10228" w:rsidRPr="00FF4AA5" w:rsidRDefault="00E10228" w:rsidP="00CF7FFA">
            <w:pPr>
              <w:spacing w:after="0" w:line="240" w:lineRule="auto"/>
              <w:rPr>
                <w:rFonts w:eastAsia="Times New Roman" w:cstheme="minorHAnsi"/>
                <w:color w:val="000000"/>
                <w:sz w:val="14"/>
                <w:szCs w:val="14"/>
                <w:lang w:eastAsia="nl-BE"/>
              </w:rPr>
            </w:pPr>
          </w:p>
        </w:tc>
        <w:tc>
          <w:tcPr>
            <w:tcW w:w="805" w:type="dxa"/>
            <w:tcBorders>
              <w:top w:val="nil"/>
              <w:left w:val="single" w:sz="4" w:space="0" w:color="auto"/>
              <w:bottom w:val="nil"/>
              <w:right w:val="nil"/>
            </w:tcBorders>
            <w:shd w:val="clear" w:color="auto" w:fill="BFBFBF" w:themeFill="background1" w:themeFillShade="BF"/>
            <w:noWrap/>
            <w:vAlign w:val="bottom"/>
          </w:tcPr>
          <w:p w14:paraId="3246B184" w14:textId="77777777" w:rsidR="00E10228" w:rsidRPr="00FF4AA5" w:rsidRDefault="00E10228" w:rsidP="00CF7FFA">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Part</w:t>
            </w:r>
          </w:p>
        </w:tc>
        <w:tc>
          <w:tcPr>
            <w:tcW w:w="896" w:type="dxa"/>
            <w:tcBorders>
              <w:top w:val="nil"/>
              <w:left w:val="nil"/>
              <w:bottom w:val="nil"/>
              <w:right w:val="nil"/>
            </w:tcBorders>
            <w:shd w:val="clear" w:color="auto" w:fill="BFBFBF" w:themeFill="background1" w:themeFillShade="BF"/>
            <w:noWrap/>
            <w:vAlign w:val="bottom"/>
          </w:tcPr>
          <w:p w14:paraId="5D14EFC4" w14:textId="77777777" w:rsidR="00E10228" w:rsidRPr="00FF4AA5" w:rsidRDefault="00E10228" w:rsidP="00CF7FFA">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eastAsia="nl-BE"/>
              </w:rPr>
              <w:t> </w:t>
            </w:r>
          </w:p>
        </w:tc>
        <w:tc>
          <w:tcPr>
            <w:tcW w:w="992" w:type="dxa"/>
            <w:tcBorders>
              <w:top w:val="nil"/>
              <w:left w:val="nil"/>
              <w:bottom w:val="nil"/>
              <w:right w:val="nil"/>
            </w:tcBorders>
            <w:shd w:val="clear" w:color="auto" w:fill="BFBFBF" w:themeFill="background1" w:themeFillShade="BF"/>
            <w:noWrap/>
            <w:vAlign w:val="bottom"/>
          </w:tcPr>
          <w:p w14:paraId="073F11BE" w14:textId="77777777" w:rsidR="00E10228" w:rsidRPr="00FF4AA5" w:rsidRDefault="00E10228" w:rsidP="00CF7FFA">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eastAsia="nl-BE"/>
              </w:rPr>
              <w:t> </w:t>
            </w:r>
          </w:p>
        </w:tc>
        <w:tc>
          <w:tcPr>
            <w:tcW w:w="735" w:type="dxa"/>
            <w:tcBorders>
              <w:top w:val="nil"/>
              <w:left w:val="nil"/>
              <w:bottom w:val="nil"/>
              <w:right w:val="single" w:sz="4" w:space="0" w:color="auto"/>
            </w:tcBorders>
            <w:shd w:val="clear" w:color="auto" w:fill="BFBFBF" w:themeFill="background1" w:themeFillShade="BF"/>
            <w:noWrap/>
            <w:vAlign w:val="bottom"/>
          </w:tcPr>
          <w:p w14:paraId="199849D8" w14:textId="77777777" w:rsidR="00E10228" w:rsidRPr="00FF4AA5" w:rsidRDefault="00E10228" w:rsidP="00CF7FFA">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eastAsia="nl-BE"/>
              </w:rPr>
              <w:t> </w:t>
            </w:r>
          </w:p>
        </w:tc>
        <w:tc>
          <w:tcPr>
            <w:tcW w:w="638" w:type="dxa"/>
            <w:tcBorders>
              <w:top w:val="nil"/>
              <w:left w:val="nil"/>
              <w:bottom w:val="nil"/>
              <w:right w:val="nil"/>
            </w:tcBorders>
            <w:shd w:val="clear" w:color="auto" w:fill="BFBFBF" w:themeFill="background1" w:themeFillShade="BF"/>
            <w:noWrap/>
            <w:vAlign w:val="bottom"/>
          </w:tcPr>
          <w:p w14:paraId="02559034" w14:textId="77777777" w:rsidR="00E10228" w:rsidRPr="00FF4AA5" w:rsidRDefault="00E10228" w:rsidP="00CF7FFA">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Part</w:t>
            </w:r>
          </w:p>
        </w:tc>
        <w:tc>
          <w:tcPr>
            <w:tcW w:w="805" w:type="dxa"/>
            <w:tcBorders>
              <w:top w:val="nil"/>
              <w:left w:val="nil"/>
              <w:bottom w:val="nil"/>
              <w:right w:val="nil"/>
            </w:tcBorders>
            <w:shd w:val="clear" w:color="auto" w:fill="BFBFBF" w:themeFill="background1" w:themeFillShade="BF"/>
            <w:noWrap/>
            <w:vAlign w:val="bottom"/>
          </w:tcPr>
          <w:p w14:paraId="2789DF3A" w14:textId="77777777" w:rsidR="00E10228" w:rsidRPr="00FF4AA5" w:rsidRDefault="00E10228" w:rsidP="00CF7FFA">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eastAsia="nl-BE"/>
              </w:rPr>
              <w:t> </w:t>
            </w:r>
          </w:p>
        </w:tc>
        <w:tc>
          <w:tcPr>
            <w:tcW w:w="806" w:type="dxa"/>
            <w:tcBorders>
              <w:top w:val="nil"/>
              <w:left w:val="nil"/>
              <w:bottom w:val="nil"/>
              <w:right w:val="nil"/>
            </w:tcBorders>
            <w:shd w:val="clear" w:color="auto" w:fill="BFBFBF" w:themeFill="background1" w:themeFillShade="BF"/>
            <w:noWrap/>
            <w:vAlign w:val="bottom"/>
          </w:tcPr>
          <w:p w14:paraId="6F4580B9" w14:textId="77777777" w:rsidR="00E10228" w:rsidRPr="00FF4AA5" w:rsidRDefault="00E10228" w:rsidP="00CF7FFA">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eastAsia="nl-BE"/>
              </w:rPr>
              <w:t> </w:t>
            </w:r>
          </w:p>
        </w:tc>
        <w:tc>
          <w:tcPr>
            <w:tcW w:w="806" w:type="dxa"/>
            <w:tcBorders>
              <w:top w:val="nil"/>
              <w:left w:val="nil"/>
              <w:bottom w:val="nil"/>
              <w:right w:val="nil"/>
            </w:tcBorders>
            <w:shd w:val="clear" w:color="auto" w:fill="BFBFBF" w:themeFill="background1" w:themeFillShade="BF"/>
            <w:noWrap/>
            <w:vAlign w:val="bottom"/>
          </w:tcPr>
          <w:p w14:paraId="58682314" w14:textId="77777777" w:rsidR="00E10228" w:rsidRPr="00FF4AA5" w:rsidRDefault="00E10228" w:rsidP="00CF7FFA">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eastAsia="nl-BE"/>
              </w:rPr>
              <w:t> </w:t>
            </w:r>
          </w:p>
        </w:tc>
        <w:tc>
          <w:tcPr>
            <w:tcW w:w="784" w:type="dxa"/>
            <w:tcBorders>
              <w:top w:val="nil"/>
              <w:left w:val="single" w:sz="4" w:space="0" w:color="auto"/>
              <w:bottom w:val="nil"/>
              <w:right w:val="single" w:sz="4" w:space="0" w:color="auto"/>
            </w:tcBorders>
            <w:shd w:val="clear" w:color="auto" w:fill="BFBFBF" w:themeFill="background1" w:themeFillShade="BF"/>
            <w:noWrap/>
            <w:vAlign w:val="bottom"/>
          </w:tcPr>
          <w:p w14:paraId="2E16A96F" w14:textId="77777777" w:rsidR="00E10228" w:rsidRPr="00FF4AA5" w:rsidRDefault="00E10228" w:rsidP="00CF7FFA">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pourcentage</w:t>
            </w:r>
          </w:p>
        </w:tc>
      </w:tr>
      <w:tr w:rsidR="00E10228" w14:paraId="2D60B149" w14:textId="77777777" w:rsidTr="00CF7FFA">
        <w:tc>
          <w:tcPr>
            <w:tcW w:w="1838" w:type="dxa"/>
            <w:tcBorders>
              <w:top w:val="nil"/>
              <w:left w:val="single" w:sz="4" w:space="0" w:color="auto"/>
              <w:bottom w:val="nil"/>
              <w:right w:val="nil"/>
            </w:tcBorders>
            <w:shd w:val="clear" w:color="auto" w:fill="BFBFBF" w:themeFill="background1" w:themeFillShade="BF"/>
            <w:noWrap/>
            <w:vAlign w:val="bottom"/>
            <w:hideMark/>
          </w:tcPr>
          <w:p w14:paraId="520C701E"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eastAsia="nl-BE"/>
              </w:rPr>
              <w:t> </w:t>
            </w:r>
          </w:p>
        </w:tc>
        <w:tc>
          <w:tcPr>
            <w:tcW w:w="805" w:type="dxa"/>
            <w:tcBorders>
              <w:top w:val="nil"/>
              <w:left w:val="single" w:sz="4" w:space="0" w:color="auto"/>
              <w:bottom w:val="nil"/>
              <w:right w:val="nil"/>
            </w:tcBorders>
            <w:shd w:val="clear" w:color="auto" w:fill="BFBFBF" w:themeFill="background1" w:themeFillShade="BF"/>
            <w:noWrap/>
            <w:vAlign w:val="bottom"/>
            <w:hideMark/>
          </w:tcPr>
          <w:p w14:paraId="423608AA" w14:textId="77777777" w:rsidR="00E10228" w:rsidRPr="0036109B" w:rsidRDefault="00E10228" w:rsidP="00CF7FFA">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w:t>
            </w:r>
            <w:r w:rsidRPr="00542DEC">
              <w:rPr>
                <w:rFonts w:eastAsia="Times New Roman" w:cstheme="minorHAnsi"/>
                <w:color w:val="000000"/>
                <w:sz w:val="14"/>
                <w:szCs w:val="14"/>
                <w:vertAlign w:val="superscript"/>
                <w:lang w:val="fr" w:eastAsia="nl-BE"/>
              </w:rPr>
              <w:t>er</w:t>
            </w:r>
            <w:r w:rsidRPr="0036109B">
              <w:rPr>
                <w:rFonts w:eastAsia="Times New Roman" w:cstheme="minorHAnsi"/>
                <w:color w:val="000000"/>
                <w:sz w:val="14"/>
                <w:szCs w:val="14"/>
                <w:lang w:val="fr" w:eastAsia="nl-BE"/>
              </w:rPr>
              <w:t xml:space="preserve"> sem. 2024</w:t>
            </w:r>
          </w:p>
        </w:tc>
        <w:tc>
          <w:tcPr>
            <w:tcW w:w="896" w:type="dxa"/>
            <w:tcBorders>
              <w:top w:val="nil"/>
              <w:left w:val="nil"/>
              <w:bottom w:val="nil"/>
              <w:right w:val="nil"/>
            </w:tcBorders>
            <w:shd w:val="clear" w:color="auto" w:fill="BFBFBF" w:themeFill="background1" w:themeFillShade="BF"/>
            <w:noWrap/>
            <w:vAlign w:val="bottom"/>
            <w:hideMark/>
          </w:tcPr>
          <w:p w14:paraId="2DF72C76" w14:textId="77777777" w:rsidR="00E10228" w:rsidRPr="0036109B" w:rsidRDefault="00E10228" w:rsidP="00CF7FFA">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w:t>
            </w:r>
            <w:r w:rsidRPr="00542DEC">
              <w:rPr>
                <w:rFonts w:eastAsia="Times New Roman" w:cstheme="minorHAnsi"/>
                <w:color w:val="000000"/>
                <w:sz w:val="14"/>
                <w:szCs w:val="14"/>
                <w:vertAlign w:val="superscript"/>
                <w:lang w:val="fr" w:eastAsia="nl-BE"/>
              </w:rPr>
              <w:t>er</w:t>
            </w:r>
            <w:r w:rsidRPr="0036109B">
              <w:rPr>
                <w:rFonts w:eastAsia="Times New Roman" w:cstheme="minorHAnsi"/>
                <w:color w:val="000000"/>
                <w:sz w:val="14"/>
                <w:szCs w:val="14"/>
                <w:lang w:val="fr" w:eastAsia="nl-BE"/>
              </w:rPr>
              <w:t xml:space="preserve"> sem. 2023</w:t>
            </w:r>
          </w:p>
        </w:tc>
        <w:tc>
          <w:tcPr>
            <w:tcW w:w="992" w:type="dxa"/>
            <w:tcBorders>
              <w:top w:val="nil"/>
              <w:left w:val="nil"/>
              <w:bottom w:val="nil"/>
              <w:right w:val="nil"/>
            </w:tcBorders>
            <w:shd w:val="clear" w:color="auto" w:fill="BFBFBF" w:themeFill="background1" w:themeFillShade="BF"/>
            <w:noWrap/>
            <w:vAlign w:val="bottom"/>
            <w:hideMark/>
          </w:tcPr>
          <w:p w14:paraId="7E718860" w14:textId="77777777" w:rsidR="00E10228" w:rsidRPr="0036109B" w:rsidRDefault="00E10228" w:rsidP="00CF7FFA">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w:t>
            </w:r>
            <w:r w:rsidRPr="00542DEC">
              <w:rPr>
                <w:rFonts w:eastAsia="Times New Roman" w:cstheme="minorHAnsi"/>
                <w:color w:val="000000"/>
                <w:sz w:val="14"/>
                <w:szCs w:val="14"/>
                <w:vertAlign w:val="superscript"/>
                <w:lang w:val="fr" w:eastAsia="nl-BE"/>
              </w:rPr>
              <w:t>er</w:t>
            </w:r>
            <w:r w:rsidRPr="0036109B">
              <w:rPr>
                <w:rFonts w:eastAsia="Times New Roman" w:cstheme="minorHAnsi"/>
                <w:color w:val="000000"/>
                <w:sz w:val="14"/>
                <w:szCs w:val="14"/>
                <w:lang w:val="fr" w:eastAsia="nl-BE"/>
              </w:rPr>
              <w:t xml:space="preserve"> sem. 2024</w:t>
            </w:r>
          </w:p>
        </w:tc>
        <w:tc>
          <w:tcPr>
            <w:tcW w:w="735" w:type="dxa"/>
            <w:tcBorders>
              <w:top w:val="nil"/>
              <w:left w:val="nil"/>
              <w:bottom w:val="nil"/>
              <w:right w:val="single" w:sz="4" w:space="0" w:color="auto"/>
            </w:tcBorders>
            <w:shd w:val="clear" w:color="auto" w:fill="BFBFBF" w:themeFill="background1" w:themeFillShade="BF"/>
            <w:noWrap/>
            <w:vAlign w:val="bottom"/>
            <w:hideMark/>
          </w:tcPr>
          <w:p w14:paraId="6489BF16" w14:textId="77777777" w:rsidR="00E10228" w:rsidRPr="0036109B" w:rsidRDefault="00E10228" w:rsidP="00CF7FFA">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w:t>
            </w:r>
            <w:r w:rsidRPr="00542DEC">
              <w:rPr>
                <w:rFonts w:eastAsia="Times New Roman" w:cstheme="minorHAnsi"/>
                <w:color w:val="000000"/>
                <w:sz w:val="14"/>
                <w:szCs w:val="14"/>
                <w:vertAlign w:val="superscript"/>
                <w:lang w:val="fr" w:eastAsia="nl-BE"/>
              </w:rPr>
              <w:t>er</w:t>
            </w:r>
            <w:r w:rsidRPr="0036109B">
              <w:rPr>
                <w:rFonts w:eastAsia="Times New Roman" w:cstheme="minorHAnsi"/>
                <w:color w:val="000000"/>
                <w:sz w:val="14"/>
                <w:szCs w:val="14"/>
                <w:lang w:val="fr" w:eastAsia="nl-BE"/>
              </w:rPr>
              <w:t xml:space="preserve"> sem.</w:t>
            </w:r>
          </w:p>
        </w:tc>
        <w:tc>
          <w:tcPr>
            <w:tcW w:w="638" w:type="dxa"/>
            <w:tcBorders>
              <w:top w:val="nil"/>
              <w:left w:val="nil"/>
              <w:bottom w:val="nil"/>
              <w:right w:val="nil"/>
            </w:tcBorders>
            <w:shd w:val="clear" w:color="auto" w:fill="BFBFBF" w:themeFill="background1" w:themeFillShade="BF"/>
            <w:noWrap/>
            <w:vAlign w:val="bottom"/>
            <w:hideMark/>
          </w:tcPr>
          <w:p w14:paraId="1374A4B5" w14:textId="77777777" w:rsidR="00E10228" w:rsidRPr="0036109B" w:rsidRDefault="00E10228" w:rsidP="00CF7FFA">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w:t>
            </w:r>
            <w:r w:rsidRPr="00542DEC">
              <w:rPr>
                <w:rFonts w:eastAsia="Times New Roman" w:cstheme="minorHAnsi"/>
                <w:color w:val="000000"/>
                <w:sz w:val="14"/>
                <w:szCs w:val="14"/>
                <w:vertAlign w:val="superscript"/>
                <w:lang w:val="fr" w:eastAsia="nl-BE"/>
              </w:rPr>
              <w:t>er</w:t>
            </w:r>
            <w:r w:rsidRPr="0036109B">
              <w:rPr>
                <w:rFonts w:eastAsia="Times New Roman" w:cstheme="minorHAnsi"/>
                <w:color w:val="000000"/>
                <w:sz w:val="14"/>
                <w:szCs w:val="14"/>
                <w:lang w:val="fr" w:eastAsia="nl-BE"/>
              </w:rPr>
              <w:t xml:space="preserve"> sem. 2024</w:t>
            </w:r>
          </w:p>
        </w:tc>
        <w:tc>
          <w:tcPr>
            <w:tcW w:w="805" w:type="dxa"/>
            <w:tcBorders>
              <w:top w:val="nil"/>
              <w:left w:val="nil"/>
              <w:bottom w:val="nil"/>
              <w:right w:val="nil"/>
            </w:tcBorders>
            <w:shd w:val="clear" w:color="auto" w:fill="BFBFBF" w:themeFill="background1" w:themeFillShade="BF"/>
            <w:noWrap/>
            <w:vAlign w:val="bottom"/>
            <w:hideMark/>
          </w:tcPr>
          <w:p w14:paraId="7CDF74F0" w14:textId="77777777" w:rsidR="00E10228" w:rsidRPr="0036109B" w:rsidRDefault="00E10228" w:rsidP="00CF7FFA">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w:t>
            </w:r>
            <w:r w:rsidRPr="00542DEC">
              <w:rPr>
                <w:rFonts w:eastAsia="Times New Roman" w:cstheme="minorHAnsi"/>
                <w:color w:val="000000"/>
                <w:sz w:val="14"/>
                <w:szCs w:val="14"/>
                <w:vertAlign w:val="superscript"/>
                <w:lang w:val="fr" w:eastAsia="nl-BE"/>
              </w:rPr>
              <w:t>er</w:t>
            </w:r>
            <w:r w:rsidRPr="0036109B">
              <w:rPr>
                <w:rFonts w:eastAsia="Times New Roman" w:cstheme="minorHAnsi"/>
                <w:color w:val="000000"/>
                <w:sz w:val="14"/>
                <w:szCs w:val="14"/>
                <w:lang w:val="fr" w:eastAsia="nl-BE"/>
              </w:rPr>
              <w:t xml:space="preserve"> sem. 2023</w:t>
            </w:r>
          </w:p>
        </w:tc>
        <w:tc>
          <w:tcPr>
            <w:tcW w:w="806" w:type="dxa"/>
            <w:tcBorders>
              <w:top w:val="nil"/>
              <w:left w:val="nil"/>
              <w:bottom w:val="nil"/>
              <w:right w:val="nil"/>
            </w:tcBorders>
            <w:shd w:val="clear" w:color="auto" w:fill="BFBFBF" w:themeFill="background1" w:themeFillShade="BF"/>
            <w:noWrap/>
            <w:vAlign w:val="bottom"/>
            <w:hideMark/>
          </w:tcPr>
          <w:p w14:paraId="23961C71" w14:textId="77777777" w:rsidR="00E10228" w:rsidRPr="0036109B" w:rsidRDefault="00E10228" w:rsidP="00CF7FFA">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w:t>
            </w:r>
            <w:r w:rsidRPr="00542DEC">
              <w:rPr>
                <w:rFonts w:eastAsia="Times New Roman" w:cstheme="minorHAnsi"/>
                <w:color w:val="000000"/>
                <w:sz w:val="14"/>
                <w:szCs w:val="14"/>
                <w:vertAlign w:val="superscript"/>
                <w:lang w:val="fr" w:eastAsia="nl-BE"/>
              </w:rPr>
              <w:t>er</w:t>
            </w:r>
            <w:r w:rsidRPr="0036109B">
              <w:rPr>
                <w:rFonts w:eastAsia="Times New Roman" w:cstheme="minorHAnsi"/>
                <w:color w:val="000000"/>
                <w:sz w:val="14"/>
                <w:szCs w:val="14"/>
                <w:lang w:val="fr" w:eastAsia="nl-BE"/>
              </w:rPr>
              <w:t xml:space="preserve"> sem. 2024</w:t>
            </w:r>
          </w:p>
        </w:tc>
        <w:tc>
          <w:tcPr>
            <w:tcW w:w="806" w:type="dxa"/>
            <w:tcBorders>
              <w:top w:val="nil"/>
              <w:left w:val="nil"/>
              <w:bottom w:val="nil"/>
              <w:right w:val="single" w:sz="4" w:space="0" w:color="auto"/>
            </w:tcBorders>
            <w:shd w:val="clear" w:color="auto" w:fill="BFBFBF" w:themeFill="background1" w:themeFillShade="BF"/>
            <w:noWrap/>
            <w:vAlign w:val="bottom"/>
            <w:hideMark/>
          </w:tcPr>
          <w:p w14:paraId="50CDDB43" w14:textId="77777777" w:rsidR="00E10228" w:rsidRPr="0036109B" w:rsidRDefault="00E10228" w:rsidP="00CF7FFA">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w:t>
            </w:r>
            <w:r w:rsidRPr="00542DEC">
              <w:rPr>
                <w:rFonts w:eastAsia="Times New Roman" w:cstheme="minorHAnsi"/>
                <w:color w:val="000000"/>
                <w:sz w:val="14"/>
                <w:szCs w:val="14"/>
                <w:vertAlign w:val="superscript"/>
                <w:lang w:val="fr" w:eastAsia="nl-BE"/>
              </w:rPr>
              <w:t>er</w:t>
            </w:r>
            <w:r w:rsidRPr="0036109B">
              <w:rPr>
                <w:rFonts w:eastAsia="Times New Roman" w:cstheme="minorHAnsi"/>
                <w:color w:val="000000"/>
                <w:sz w:val="14"/>
                <w:szCs w:val="14"/>
                <w:lang w:val="fr" w:eastAsia="nl-BE"/>
              </w:rPr>
              <w:t xml:space="preserve"> sem.</w:t>
            </w:r>
          </w:p>
        </w:tc>
        <w:tc>
          <w:tcPr>
            <w:tcW w:w="784" w:type="dxa"/>
            <w:tcBorders>
              <w:top w:val="nil"/>
              <w:left w:val="nil"/>
              <w:bottom w:val="nil"/>
              <w:right w:val="single" w:sz="4" w:space="0" w:color="auto"/>
            </w:tcBorders>
            <w:shd w:val="clear" w:color="auto" w:fill="BFBFBF" w:themeFill="background1" w:themeFillShade="BF"/>
            <w:noWrap/>
            <w:vAlign w:val="bottom"/>
            <w:hideMark/>
          </w:tcPr>
          <w:p w14:paraId="04618CBC" w14:textId="77777777" w:rsidR="00E10228" w:rsidRPr="0036109B" w:rsidRDefault="00E10228" w:rsidP="00CF7FFA">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w:t>
            </w:r>
            <w:r w:rsidRPr="00542DEC">
              <w:rPr>
                <w:rFonts w:eastAsia="Times New Roman" w:cstheme="minorHAnsi"/>
                <w:color w:val="000000"/>
                <w:sz w:val="14"/>
                <w:szCs w:val="14"/>
                <w:vertAlign w:val="superscript"/>
                <w:lang w:val="fr" w:eastAsia="nl-BE"/>
              </w:rPr>
              <w:t>er</w:t>
            </w:r>
            <w:r w:rsidRPr="0036109B">
              <w:rPr>
                <w:rFonts w:eastAsia="Times New Roman" w:cstheme="minorHAnsi"/>
                <w:color w:val="000000"/>
                <w:sz w:val="14"/>
                <w:szCs w:val="14"/>
                <w:lang w:val="fr" w:eastAsia="nl-BE"/>
              </w:rPr>
              <w:t xml:space="preserve"> sem. 2024</w:t>
            </w:r>
          </w:p>
        </w:tc>
      </w:tr>
      <w:tr w:rsidR="00E10228" w14:paraId="7386B658" w14:textId="77777777" w:rsidTr="00CF7FFA">
        <w:tc>
          <w:tcPr>
            <w:tcW w:w="1838" w:type="dxa"/>
            <w:tcBorders>
              <w:top w:val="nil"/>
              <w:left w:val="single" w:sz="4" w:space="0" w:color="auto"/>
              <w:bottom w:val="single" w:sz="4" w:space="0" w:color="auto"/>
              <w:right w:val="nil"/>
            </w:tcBorders>
            <w:shd w:val="clear" w:color="auto" w:fill="BFBFBF" w:themeFill="background1" w:themeFillShade="BF"/>
            <w:noWrap/>
            <w:vAlign w:val="bottom"/>
            <w:hideMark/>
          </w:tcPr>
          <w:p w14:paraId="717DFEB4" w14:textId="77777777" w:rsidR="00E10228" w:rsidRPr="0036109B" w:rsidRDefault="00E10228" w:rsidP="00CF7FFA">
            <w:pPr>
              <w:spacing w:after="0" w:line="240" w:lineRule="auto"/>
              <w:rPr>
                <w:rFonts w:eastAsia="Times New Roman" w:cstheme="minorHAnsi"/>
                <w:b/>
                <w:bCs/>
                <w:color w:val="000000"/>
                <w:sz w:val="14"/>
                <w:szCs w:val="14"/>
                <w:lang w:eastAsia="nl-BE"/>
              </w:rPr>
            </w:pPr>
            <w:r w:rsidRPr="0036109B">
              <w:rPr>
                <w:rFonts w:eastAsia="Times New Roman" w:cstheme="minorHAnsi"/>
                <w:b/>
                <w:bCs/>
                <w:color w:val="000000"/>
                <w:sz w:val="14"/>
                <w:szCs w:val="14"/>
                <w:lang w:eastAsia="nl-BE"/>
              </w:rPr>
              <w:t> </w:t>
            </w:r>
          </w:p>
        </w:tc>
        <w:tc>
          <w:tcPr>
            <w:tcW w:w="805" w:type="dxa"/>
            <w:tcBorders>
              <w:top w:val="nil"/>
              <w:left w:val="single" w:sz="4" w:space="0" w:color="auto"/>
              <w:bottom w:val="nil"/>
              <w:right w:val="nil"/>
            </w:tcBorders>
            <w:shd w:val="clear" w:color="auto" w:fill="BFBFBF" w:themeFill="background1" w:themeFillShade="BF"/>
            <w:noWrap/>
            <w:vAlign w:val="bottom"/>
            <w:hideMark/>
          </w:tcPr>
          <w:p w14:paraId="09A140A5" w14:textId="77777777" w:rsidR="00E10228" w:rsidRPr="0036109B" w:rsidRDefault="00E10228" w:rsidP="00CF7FFA">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en %</w:t>
            </w:r>
          </w:p>
        </w:tc>
        <w:tc>
          <w:tcPr>
            <w:tcW w:w="896" w:type="dxa"/>
            <w:tcBorders>
              <w:top w:val="nil"/>
              <w:left w:val="nil"/>
              <w:bottom w:val="nil"/>
              <w:right w:val="nil"/>
            </w:tcBorders>
            <w:shd w:val="clear" w:color="auto" w:fill="BFBFBF" w:themeFill="background1" w:themeFillShade="BF"/>
            <w:noWrap/>
            <w:vAlign w:val="bottom"/>
            <w:hideMark/>
          </w:tcPr>
          <w:p w14:paraId="0A39BA29" w14:textId="77777777" w:rsidR="00E10228" w:rsidRPr="0036109B" w:rsidRDefault="00E10228" w:rsidP="00CF7FFA">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1000 euros</w:t>
            </w:r>
          </w:p>
        </w:tc>
        <w:tc>
          <w:tcPr>
            <w:tcW w:w="992" w:type="dxa"/>
            <w:tcBorders>
              <w:top w:val="nil"/>
              <w:left w:val="nil"/>
              <w:bottom w:val="nil"/>
              <w:right w:val="nil"/>
            </w:tcBorders>
            <w:shd w:val="clear" w:color="auto" w:fill="BFBFBF" w:themeFill="background1" w:themeFillShade="BF"/>
            <w:noWrap/>
            <w:vAlign w:val="bottom"/>
            <w:hideMark/>
          </w:tcPr>
          <w:p w14:paraId="63A75D8E" w14:textId="77777777" w:rsidR="00E10228" w:rsidRPr="0036109B" w:rsidRDefault="00E10228" w:rsidP="00CF7FFA">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1000 euros</w:t>
            </w:r>
          </w:p>
        </w:tc>
        <w:tc>
          <w:tcPr>
            <w:tcW w:w="735" w:type="dxa"/>
            <w:tcBorders>
              <w:top w:val="nil"/>
              <w:left w:val="nil"/>
              <w:bottom w:val="nil"/>
              <w:right w:val="nil"/>
            </w:tcBorders>
            <w:shd w:val="clear" w:color="auto" w:fill="BFBFBF" w:themeFill="background1" w:themeFillShade="BF"/>
            <w:noWrap/>
            <w:vAlign w:val="bottom"/>
            <w:hideMark/>
          </w:tcPr>
          <w:p w14:paraId="26BD064D" w14:textId="77777777" w:rsidR="00E10228" w:rsidRPr="0036109B" w:rsidRDefault="00E10228" w:rsidP="00CF7FFA">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24/23</w:t>
            </w:r>
          </w:p>
        </w:tc>
        <w:tc>
          <w:tcPr>
            <w:tcW w:w="638" w:type="dxa"/>
            <w:tcBorders>
              <w:top w:val="nil"/>
              <w:left w:val="single" w:sz="4" w:space="0" w:color="auto"/>
              <w:bottom w:val="nil"/>
              <w:right w:val="nil"/>
            </w:tcBorders>
            <w:shd w:val="clear" w:color="auto" w:fill="BFBFBF" w:themeFill="background1" w:themeFillShade="BF"/>
            <w:noWrap/>
            <w:vAlign w:val="bottom"/>
            <w:hideMark/>
          </w:tcPr>
          <w:p w14:paraId="3CA77929" w14:textId="77777777" w:rsidR="00E10228" w:rsidRPr="0036109B" w:rsidRDefault="00E10228" w:rsidP="00CF7FFA">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en %</w:t>
            </w:r>
          </w:p>
        </w:tc>
        <w:tc>
          <w:tcPr>
            <w:tcW w:w="805" w:type="dxa"/>
            <w:tcBorders>
              <w:top w:val="nil"/>
              <w:left w:val="nil"/>
              <w:bottom w:val="nil"/>
              <w:right w:val="nil"/>
            </w:tcBorders>
            <w:shd w:val="clear" w:color="auto" w:fill="BFBFBF" w:themeFill="background1" w:themeFillShade="BF"/>
            <w:noWrap/>
            <w:vAlign w:val="bottom"/>
            <w:hideMark/>
          </w:tcPr>
          <w:p w14:paraId="7FDFF4C7" w14:textId="77777777" w:rsidR="00E10228" w:rsidRPr="0036109B" w:rsidRDefault="00E10228" w:rsidP="00CF7FFA">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1000 euros</w:t>
            </w:r>
          </w:p>
        </w:tc>
        <w:tc>
          <w:tcPr>
            <w:tcW w:w="806" w:type="dxa"/>
            <w:tcBorders>
              <w:top w:val="nil"/>
              <w:left w:val="nil"/>
              <w:bottom w:val="nil"/>
              <w:right w:val="nil"/>
            </w:tcBorders>
            <w:shd w:val="clear" w:color="auto" w:fill="BFBFBF" w:themeFill="background1" w:themeFillShade="BF"/>
            <w:noWrap/>
            <w:vAlign w:val="bottom"/>
            <w:hideMark/>
          </w:tcPr>
          <w:p w14:paraId="4DBE8328" w14:textId="77777777" w:rsidR="00E10228" w:rsidRPr="0036109B" w:rsidRDefault="00E10228" w:rsidP="00CF7FFA">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1000 euros</w:t>
            </w:r>
          </w:p>
        </w:tc>
        <w:tc>
          <w:tcPr>
            <w:tcW w:w="806" w:type="dxa"/>
            <w:tcBorders>
              <w:top w:val="nil"/>
              <w:left w:val="nil"/>
              <w:bottom w:val="nil"/>
              <w:right w:val="nil"/>
            </w:tcBorders>
            <w:shd w:val="clear" w:color="auto" w:fill="BFBFBF" w:themeFill="background1" w:themeFillShade="BF"/>
            <w:noWrap/>
            <w:vAlign w:val="bottom"/>
            <w:hideMark/>
          </w:tcPr>
          <w:p w14:paraId="20BA81F4" w14:textId="77777777" w:rsidR="00E10228" w:rsidRPr="0036109B" w:rsidRDefault="00E10228" w:rsidP="00CF7FFA">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24/23</w:t>
            </w:r>
          </w:p>
        </w:tc>
        <w:tc>
          <w:tcPr>
            <w:tcW w:w="78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E18411D" w14:textId="77777777" w:rsidR="00E10228" w:rsidRPr="0036109B" w:rsidRDefault="00E10228" w:rsidP="00CF7FFA">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w:t>
            </w:r>
            <w:proofErr w:type="spellStart"/>
            <w:r w:rsidRPr="0036109B">
              <w:rPr>
                <w:rFonts w:eastAsia="Times New Roman" w:cstheme="minorHAnsi"/>
                <w:color w:val="000000"/>
                <w:sz w:val="14"/>
                <w:szCs w:val="14"/>
                <w:lang w:val="fr" w:eastAsia="nl-BE"/>
              </w:rPr>
              <w:t>Exp</w:t>
            </w:r>
            <w:proofErr w:type="spellEnd"/>
            <w:r w:rsidRPr="0036109B">
              <w:rPr>
                <w:rFonts w:eastAsia="Times New Roman" w:cstheme="minorHAnsi"/>
                <w:color w:val="000000"/>
                <w:sz w:val="14"/>
                <w:szCs w:val="14"/>
                <w:lang w:val="fr" w:eastAsia="nl-BE"/>
              </w:rPr>
              <w:t>./imp.)</w:t>
            </w:r>
          </w:p>
        </w:tc>
      </w:tr>
      <w:tr w:rsidR="00E10228" w14:paraId="0E115443" w14:textId="77777777" w:rsidTr="00CF7FFA">
        <w:tc>
          <w:tcPr>
            <w:tcW w:w="1838" w:type="dxa"/>
            <w:tcBorders>
              <w:top w:val="nil"/>
              <w:left w:val="single" w:sz="4" w:space="0" w:color="auto"/>
              <w:bottom w:val="single" w:sz="4" w:space="0" w:color="auto"/>
              <w:right w:val="nil"/>
            </w:tcBorders>
            <w:shd w:val="clear" w:color="auto" w:fill="D9D9D9" w:themeFill="background1" w:themeFillShade="D9"/>
            <w:vAlign w:val="bottom"/>
            <w:hideMark/>
          </w:tcPr>
          <w:p w14:paraId="120E52BF" w14:textId="77777777" w:rsidR="00E10228" w:rsidRPr="0036109B" w:rsidRDefault="00E10228" w:rsidP="00CF7FFA">
            <w:pPr>
              <w:spacing w:after="0" w:line="240" w:lineRule="auto"/>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 xml:space="preserve">Union </w:t>
            </w:r>
            <w:r>
              <w:rPr>
                <w:rFonts w:eastAsia="Times New Roman" w:cstheme="minorHAnsi"/>
                <w:b/>
                <w:bCs/>
                <w:color w:val="000000"/>
                <w:sz w:val="14"/>
                <w:szCs w:val="14"/>
                <w:lang w:val="fr" w:eastAsia="nl-BE"/>
              </w:rPr>
              <w:t>e</w:t>
            </w:r>
            <w:r w:rsidRPr="0036109B">
              <w:rPr>
                <w:rFonts w:eastAsia="Times New Roman" w:cstheme="minorHAnsi"/>
                <w:b/>
                <w:bCs/>
                <w:color w:val="000000"/>
                <w:sz w:val="14"/>
                <w:szCs w:val="14"/>
                <w:lang w:val="fr" w:eastAsia="nl-BE"/>
              </w:rPr>
              <w:t>uropéenne</w:t>
            </w:r>
          </w:p>
        </w:tc>
        <w:tc>
          <w:tcPr>
            <w:tcW w:w="805"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A8917C4"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58,2</w:t>
            </w:r>
          </w:p>
        </w:tc>
        <w:tc>
          <w:tcPr>
            <w:tcW w:w="896" w:type="dxa"/>
            <w:tcBorders>
              <w:top w:val="single" w:sz="4" w:space="0" w:color="auto"/>
              <w:left w:val="nil"/>
              <w:bottom w:val="single" w:sz="4" w:space="0" w:color="auto"/>
              <w:right w:val="nil"/>
            </w:tcBorders>
            <w:shd w:val="clear" w:color="auto" w:fill="D9D9D9" w:themeFill="background1" w:themeFillShade="D9"/>
            <w:vAlign w:val="bottom"/>
            <w:hideMark/>
          </w:tcPr>
          <w:p w14:paraId="0861A4C1"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759 175,6</w:t>
            </w:r>
          </w:p>
        </w:tc>
        <w:tc>
          <w:tcPr>
            <w:tcW w:w="992" w:type="dxa"/>
            <w:tcBorders>
              <w:top w:val="single" w:sz="4" w:space="0" w:color="auto"/>
              <w:left w:val="nil"/>
              <w:bottom w:val="single" w:sz="4" w:space="0" w:color="auto"/>
              <w:right w:val="nil"/>
            </w:tcBorders>
            <w:shd w:val="clear" w:color="auto" w:fill="D9D9D9" w:themeFill="background1" w:themeFillShade="D9"/>
            <w:vAlign w:val="bottom"/>
            <w:hideMark/>
          </w:tcPr>
          <w:p w14:paraId="24FA3ED5"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718 148,7</w:t>
            </w:r>
          </w:p>
        </w:tc>
        <w:tc>
          <w:tcPr>
            <w:tcW w:w="735" w:type="dxa"/>
            <w:tcBorders>
              <w:top w:val="single" w:sz="4" w:space="0" w:color="auto"/>
              <w:left w:val="nil"/>
              <w:bottom w:val="single" w:sz="4" w:space="0" w:color="auto"/>
              <w:right w:val="nil"/>
            </w:tcBorders>
            <w:shd w:val="clear" w:color="auto" w:fill="D9D9D9" w:themeFill="background1" w:themeFillShade="D9"/>
            <w:noWrap/>
            <w:vAlign w:val="bottom"/>
            <w:hideMark/>
          </w:tcPr>
          <w:p w14:paraId="2F492621"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-5,4</w:t>
            </w:r>
          </w:p>
        </w:tc>
        <w:tc>
          <w:tcPr>
            <w:tcW w:w="638"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24489509"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87,4</w:t>
            </w:r>
          </w:p>
        </w:tc>
        <w:tc>
          <w:tcPr>
            <w:tcW w:w="805" w:type="dxa"/>
            <w:tcBorders>
              <w:top w:val="single" w:sz="4" w:space="0" w:color="auto"/>
              <w:left w:val="nil"/>
              <w:bottom w:val="single" w:sz="4" w:space="0" w:color="auto"/>
              <w:right w:val="nil"/>
            </w:tcBorders>
            <w:shd w:val="clear" w:color="auto" w:fill="D9D9D9" w:themeFill="background1" w:themeFillShade="D9"/>
            <w:vAlign w:val="bottom"/>
            <w:hideMark/>
          </w:tcPr>
          <w:p w14:paraId="0F8A33F8"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719 148,7</w:t>
            </w:r>
          </w:p>
        </w:tc>
        <w:tc>
          <w:tcPr>
            <w:tcW w:w="806" w:type="dxa"/>
            <w:tcBorders>
              <w:top w:val="single" w:sz="4" w:space="0" w:color="auto"/>
              <w:left w:val="nil"/>
              <w:bottom w:val="single" w:sz="4" w:space="0" w:color="auto"/>
              <w:right w:val="nil"/>
            </w:tcBorders>
            <w:shd w:val="clear" w:color="auto" w:fill="D9D9D9" w:themeFill="background1" w:themeFillShade="D9"/>
            <w:vAlign w:val="bottom"/>
            <w:hideMark/>
          </w:tcPr>
          <w:p w14:paraId="43F85F53"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705 648,8</w:t>
            </w:r>
          </w:p>
        </w:tc>
        <w:tc>
          <w:tcPr>
            <w:tcW w:w="80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A6DCFC4"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-1,9</w:t>
            </w:r>
          </w:p>
        </w:tc>
        <w:tc>
          <w:tcPr>
            <w:tcW w:w="784" w:type="dxa"/>
            <w:tcBorders>
              <w:top w:val="nil"/>
              <w:left w:val="nil"/>
              <w:bottom w:val="single" w:sz="4" w:space="0" w:color="auto"/>
              <w:right w:val="single" w:sz="4" w:space="0" w:color="auto"/>
            </w:tcBorders>
            <w:shd w:val="clear" w:color="auto" w:fill="D9D9D9" w:themeFill="background1" w:themeFillShade="D9"/>
            <w:noWrap/>
            <w:vAlign w:val="bottom"/>
            <w:hideMark/>
          </w:tcPr>
          <w:p w14:paraId="51C85929"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98,3</w:t>
            </w:r>
          </w:p>
        </w:tc>
      </w:tr>
      <w:tr w:rsidR="00E10228" w14:paraId="66C0FA9D"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49DA4410"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France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571FCB8"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5,6</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10F8EFB2"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74 355,3</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391032C4"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68 951,3</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3D785E66"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-7,3</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DCA36B0"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29,7</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1A0CA4A"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275 969,1</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07D563E"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240 053,1</w:t>
            </w:r>
          </w:p>
        </w:tc>
        <w:tc>
          <w:tcPr>
            <w:tcW w:w="806" w:type="dxa"/>
            <w:tcBorders>
              <w:top w:val="nil"/>
              <w:left w:val="nil"/>
              <w:bottom w:val="single" w:sz="4" w:space="0" w:color="FFFFFF" w:themeColor="background1"/>
              <w:right w:val="nil"/>
            </w:tcBorders>
            <w:shd w:val="clear" w:color="auto" w:fill="auto"/>
            <w:noWrap/>
            <w:vAlign w:val="bottom"/>
            <w:hideMark/>
          </w:tcPr>
          <w:p w14:paraId="13626ECE"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-13,0</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2418610"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348,1</w:t>
            </w:r>
          </w:p>
        </w:tc>
      </w:tr>
      <w:tr w:rsidR="00E10228" w14:paraId="6B1D520F"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145B3AF8"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Pays-Bas</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AF1FF15"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14,3</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00D38AF2"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200 470,1</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4E860FE0"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176 868,3</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081BD36E"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-11,8</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E8AD3BE"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21,8</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EE9DD04"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198 995,8</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CD0B6C0"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176 192,1</w:t>
            </w:r>
          </w:p>
        </w:tc>
        <w:tc>
          <w:tcPr>
            <w:tcW w:w="806" w:type="dxa"/>
            <w:tcBorders>
              <w:top w:val="nil"/>
              <w:left w:val="nil"/>
              <w:bottom w:val="single" w:sz="4" w:space="0" w:color="FFFFFF" w:themeColor="background1"/>
              <w:right w:val="nil"/>
            </w:tcBorders>
            <w:shd w:val="clear" w:color="auto" w:fill="auto"/>
            <w:noWrap/>
            <w:vAlign w:val="bottom"/>
            <w:hideMark/>
          </w:tcPr>
          <w:p w14:paraId="3DFFA47D"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-11,5</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35626DB"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99,6</w:t>
            </w:r>
          </w:p>
        </w:tc>
      </w:tr>
      <w:tr w:rsidR="00E10228" w14:paraId="118E5A01"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5EE1F39F"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Allemagne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D4C0370"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11,4</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082CB004"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164 005,3</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35693224"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140 668,3</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1FB55AC2"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-14,2</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B67897D"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23,6</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E123F0D"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130 249,2</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D09A9DE"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190 701,3</w:t>
            </w:r>
          </w:p>
        </w:tc>
        <w:tc>
          <w:tcPr>
            <w:tcW w:w="806" w:type="dxa"/>
            <w:tcBorders>
              <w:top w:val="nil"/>
              <w:left w:val="nil"/>
              <w:bottom w:val="single" w:sz="4" w:space="0" w:color="FFFFFF" w:themeColor="background1"/>
              <w:right w:val="nil"/>
            </w:tcBorders>
            <w:shd w:val="clear" w:color="auto" w:fill="auto"/>
            <w:noWrap/>
            <w:vAlign w:val="bottom"/>
            <w:hideMark/>
          </w:tcPr>
          <w:p w14:paraId="36C682D0"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46,4</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895453E"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135,6</w:t>
            </w:r>
          </w:p>
        </w:tc>
      </w:tr>
      <w:tr w:rsidR="00E10228" w14:paraId="3F8D34F0"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1D1FA338"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Italie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1C5606D"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5,9</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6C112191"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77 703,0</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6841AE0F"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72 650,6</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3ABF755A"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-6,5</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E05D9DB"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183906F"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23 902,3</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F48BF0D"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16 516,9</w:t>
            </w:r>
          </w:p>
        </w:tc>
        <w:tc>
          <w:tcPr>
            <w:tcW w:w="806" w:type="dxa"/>
            <w:tcBorders>
              <w:top w:val="nil"/>
              <w:left w:val="nil"/>
              <w:bottom w:val="single" w:sz="4" w:space="0" w:color="FFFFFF" w:themeColor="background1"/>
              <w:right w:val="nil"/>
            </w:tcBorders>
            <w:shd w:val="clear" w:color="auto" w:fill="auto"/>
            <w:noWrap/>
            <w:vAlign w:val="bottom"/>
            <w:hideMark/>
          </w:tcPr>
          <w:p w14:paraId="34D62F90"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-30,9</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7EB78FD"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22,7</w:t>
            </w:r>
          </w:p>
        </w:tc>
      </w:tr>
      <w:tr w:rsidR="00E10228" w14:paraId="353D0BE9"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2734A96A"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Irlande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A541343"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0,1</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7673BD50"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1 532,3</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5132AD4F"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689,8</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202F844C"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-55,0</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9F30DDB"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1,4</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C6777E1"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10 100,2</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86ECD1B"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11 573,5</w:t>
            </w:r>
          </w:p>
        </w:tc>
        <w:tc>
          <w:tcPr>
            <w:tcW w:w="806" w:type="dxa"/>
            <w:tcBorders>
              <w:top w:val="nil"/>
              <w:left w:val="nil"/>
              <w:bottom w:val="single" w:sz="4" w:space="0" w:color="FFFFFF" w:themeColor="background1"/>
              <w:right w:val="nil"/>
            </w:tcBorders>
            <w:shd w:val="clear" w:color="auto" w:fill="auto"/>
            <w:noWrap/>
            <w:vAlign w:val="bottom"/>
            <w:hideMark/>
          </w:tcPr>
          <w:p w14:paraId="1DBF3A89"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14,6</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C355650"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1 677,8</w:t>
            </w:r>
          </w:p>
        </w:tc>
      </w:tr>
      <w:tr w:rsidR="00E10228" w14:paraId="7A681F55"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01FEC31D"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Danemark</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58FDE5E"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3,9</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1B5283C9"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27 535,9</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47967303"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47 968,8</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71C70E62"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74,2</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C7FACB3"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0,3</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9114CD5"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3 010,4</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7BD6052"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2 203,0</w:t>
            </w:r>
          </w:p>
        </w:tc>
        <w:tc>
          <w:tcPr>
            <w:tcW w:w="806" w:type="dxa"/>
            <w:tcBorders>
              <w:top w:val="nil"/>
              <w:left w:val="nil"/>
              <w:bottom w:val="single" w:sz="4" w:space="0" w:color="FFFFFF" w:themeColor="background1"/>
              <w:right w:val="nil"/>
            </w:tcBorders>
            <w:shd w:val="clear" w:color="auto" w:fill="auto"/>
            <w:noWrap/>
            <w:vAlign w:val="bottom"/>
            <w:hideMark/>
          </w:tcPr>
          <w:p w14:paraId="7724F491"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-26,8</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FC74327"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4,6</w:t>
            </w:r>
          </w:p>
        </w:tc>
      </w:tr>
      <w:tr w:rsidR="00E10228" w14:paraId="18920681"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0786FCDD"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Grèce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09F5CDC"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0,0</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5CBA5510"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123,3</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735E2B4A"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33,6</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7EAFA5F9"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-72,7</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37F3778"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0,2</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27FD3BB"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2 234,6</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CEA7E4E"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1 982,0</w:t>
            </w:r>
          </w:p>
        </w:tc>
        <w:tc>
          <w:tcPr>
            <w:tcW w:w="806" w:type="dxa"/>
            <w:tcBorders>
              <w:top w:val="nil"/>
              <w:left w:val="nil"/>
              <w:bottom w:val="single" w:sz="4" w:space="0" w:color="FFFFFF" w:themeColor="background1"/>
              <w:right w:val="nil"/>
            </w:tcBorders>
            <w:shd w:val="clear" w:color="auto" w:fill="auto"/>
            <w:noWrap/>
            <w:vAlign w:val="bottom"/>
            <w:hideMark/>
          </w:tcPr>
          <w:p w14:paraId="7AFC5A36"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-11,3</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E1DCEC4"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5 892,7</w:t>
            </w:r>
          </w:p>
        </w:tc>
      </w:tr>
      <w:tr w:rsidR="00E10228" w14:paraId="3FBF6AC6"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35103969"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Portugal</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A7753FA"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0,4</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5EDD67B3"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4 628,5</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6EE01B9C"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4 914,5</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26902ADB"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6,2</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3C8DEB7"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0,5</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C14CD13"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5 510,0</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50C2D64"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4 237,8</w:t>
            </w:r>
          </w:p>
        </w:tc>
        <w:tc>
          <w:tcPr>
            <w:tcW w:w="806" w:type="dxa"/>
            <w:tcBorders>
              <w:top w:val="nil"/>
              <w:left w:val="nil"/>
              <w:bottom w:val="single" w:sz="4" w:space="0" w:color="FFFFFF" w:themeColor="background1"/>
              <w:right w:val="nil"/>
            </w:tcBorders>
            <w:shd w:val="clear" w:color="auto" w:fill="auto"/>
            <w:noWrap/>
            <w:vAlign w:val="bottom"/>
            <w:hideMark/>
          </w:tcPr>
          <w:p w14:paraId="4F3626D9"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-23,1</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B7D44A5"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86,2</w:t>
            </w:r>
          </w:p>
        </w:tc>
      </w:tr>
      <w:tr w:rsidR="00E10228" w14:paraId="439E5495"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2D6FF916"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Espagne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BB37B96"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0,9</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6F9904FA"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13 786,6</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5C60E2B4"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10 613,0</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0BE60536"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-23,0</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26298B9"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B89BC35"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17 879,4</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E0636A4"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16 279,3</w:t>
            </w:r>
          </w:p>
        </w:tc>
        <w:tc>
          <w:tcPr>
            <w:tcW w:w="806" w:type="dxa"/>
            <w:tcBorders>
              <w:top w:val="nil"/>
              <w:left w:val="nil"/>
              <w:bottom w:val="single" w:sz="4" w:space="0" w:color="FFFFFF" w:themeColor="background1"/>
              <w:right w:val="nil"/>
            </w:tcBorders>
            <w:shd w:val="clear" w:color="auto" w:fill="auto"/>
            <w:noWrap/>
            <w:vAlign w:val="bottom"/>
            <w:hideMark/>
          </w:tcPr>
          <w:p w14:paraId="6F6AEEF1"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-8,9</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45D8AAF"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153,4</w:t>
            </w:r>
          </w:p>
        </w:tc>
      </w:tr>
      <w:tr w:rsidR="00E10228" w14:paraId="0EEC46D0"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2C1FBF75"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Luxembourg</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900B17C"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0,0</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0AA5D4EA"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831,1</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16E5D9F2"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278,2</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0AE6D097"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-66,5</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3DCE2C2"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1,4</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BF40544"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12 923,9</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B7AE4E9"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11 507,0</w:t>
            </w:r>
          </w:p>
        </w:tc>
        <w:tc>
          <w:tcPr>
            <w:tcW w:w="806" w:type="dxa"/>
            <w:tcBorders>
              <w:top w:val="nil"/>
              <w:left w:val="nil"/>
              <w:bottom w:val="single" w:sz="4" w:space="0" w:color="FFFFFF" w:themeColor="background1"/>
              <w:right w:val="nil"/>
            </w:tcBorders>
            <w:shd w:val="clear" w:color="auto" w:fill="auto"/>
            <w:noWrap/>
            <w:vAlign w:val="bottom"/>
            <w:hideMark/>
          </w:tcPr>
          <w:p w14:paraId="74AC8500"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-11,0</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9774059"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4 136,5</w:t>
            </w:r>
          </w:p>
        </w:tc>
      </w:tr>
      <w:tr w:rsidR="00E10228" w14:paraId="35CE3694"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1965610C"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Ceuta</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148C7C6"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0,0</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4024DC88"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0,0</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612D32EF"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0,0</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1E07D963"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 xml:space="preserve">– </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E2B6749"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2261776"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16,2</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A5EEFB3"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18,6</w:t>
            </w:r>
          </w:p>
        </w:tc>
        <w:tc>
          <w:tcPr>
            <w:tcW w:w="806" w:type="dxa"/>
            <w:tcBorders>
              <w:top w:val="nil"/>
              <w:left w:val="nil"/>
              <w:bottom w:val="single" w:sz="4" w:space="0" w:color="FFFFFF" w:themeColor="background1"/>
              <w:right w:val="nil"/>
            </w:tcBorders>
            <w:shd w:val="clear" w:color="auto" w:fill="auto"/>
            <w:noWrap/>
            <w:vAlign w:val="bottom"/>
            <w:hideMark/>
          </w:tcPr>
          <w:p w14:paraId="471E53BC"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15,3</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17F257E"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 xml:space="preserve">– </w:t>
            </w:r>
          </w:p>
        </w:tc>
      </w:tr>
      <w:tr w:rsidR="00E10228" w14:paraId="4E234929"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4310A382"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Suède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05D8099"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0,9</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4E1B6DA2"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15 395,9</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0D49CA07"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11 179,7</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62D830C7"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-27,4</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AD43203"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0,4</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98F7042"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3 852,5</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ED285A4"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3 197,0</w:t>
            </w:r>
          </w:p>
        </w:tc>
        <w:tc>
          <w:tcPr>
            <w:tcW w:w="806" w:type="dxa"/>
            <w:tcBorders>
              <w:top w:val="nil"/>
              <w:left w:val="nil"/>
              <w:bottom w:val="single" w:sz="4" w:space="0" w:color="FFFFFF" w:themeColor="background1"/>
              <w:right w:val="nil"/>
            </w:tcBorders>
            <w:shd w:val="clear" w:color="auto" w:fill="auto"/>
            <w:noWrap/>
            <w:vAlign w:val="bottom"/>
            <w:hideMark/>
          </w:tcPr>
          <w:p w14:paraId="1D5DD379"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-17,0</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3869C34"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28,6</w:t>
            </w:r>
          </w:p>
        </w:tc>
      </w:tr>
      <w:tr w:rsidR="00E10228" w14:paraId="6EE7B4EC"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3ABA94AB"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Finlande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2E637BE"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0,4</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74F542C5"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5 072,1</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000F7C1A"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4 890,0</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6D18A0B9"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-3,6</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4DACAA6"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0,1</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89D2A15"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768,1</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0643110"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582,5</w:t>
            </w:r>
          </w:p>
        </w:tc>
        <w:tc>
          <w:tcPr>
            <w:tcW w:w="806" w:type="dxa"/>
            <w:tcBorders>
              <w:top w:val="nil"/>
              <w:left w:val="nil"/>
              <w:bottom w:val="single" w:sz="4" w:space="0" w:color="FFFFFF" w:themeColor="background1"/>
              <w:right w:val="nil"/>
            </w:tcBorders>
            <w:shd w:val="clear" w:color="auto" w:fill="auto"/>
            <w:noWrap/>
            <w:vAlign w:val="bottom"/>
            <w:hideMark/>
          </w:tcPr>
          <w:p w14:paraId="1EBAE697"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-24,2</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32CF60B"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11,9</w:t>
            </w:r>
          </w:p>
        </w:tc>
      </w:tr>
      <w:tr w:rsidR="00E10228" w14:paraId="5499E0D2"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4A14B307"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Autriche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724F6AD"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0,3</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00180A3E"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3 339,5</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354D9343"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3 147,2</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7C1747A8"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-5,8</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424E91A"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0,8</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70F41AB"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6 822,0</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F5711F0"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6 311,9</w:t>
            </w:r>
          </w:p>
        </w:tc>
        <w:tc>
          <w:tcPr>
            <w:tcW w:w="806" w:type="dxa"/>
            <w:tcBorders>
              <w:top w:val="nil"/>
              <w:left w:val="nil"/>
              <w:bottom w:val="single" w:sz="4" w:space="0" w:color="FFFFFF" w:themeColor="background1"/>
              <w:right w:val="nil"/>
            </w:tcBorders>
            <w:shd w:val="clear" w:color="auto" w:fill="auto"/>
            <w:noWrap/>
            <w:vAlign w:val="bottom"/>
            <w:hideMark/>
          </w:tcPr>
          <w:p w14:paraId="2A5815B5"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-7,5</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0457B5A"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200,6</w:t>
            </w:r>
          </w:p>
        </w:tc>
      </w:tr>
      <w:tr w:rsidR="00E10228" w14:paraId="320FB5B7"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2E52A9D0"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Malte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4495C04"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0,0</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7D5BDBEB"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2,1</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4810B7BD"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83,6</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4465A0C1"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3 913,9</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9D4F6D1"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0,1</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A0D5637"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361,7</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CB14ED9"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496,8</w:t>
            </w:r>
          </w:p>
        </w:tc>
        <w:tc>
          <w:tcPr>
            <w:tcW w:w="806" w:type="dxa"/>
            <w:tcBorders>
              <w:top w:val="nil"/>
              <w:left w:val="nil"/>
              <w:bottom w:val="single" w:sz="4" w:space="0" w:color="FFFFFF" w:themeColor="background1"/>
              <w:right w:val="nil"/>
            </w:tcBorders>
            <w:shd w:val="clear" w:color="auto" w:fill="auto"/>
            <w:noWrap/>
            <w:vAlign w:val="bottom"/>
            <w:hideMark/>
          </w:tcPr>
          <w:p w14:paraId="392AD6FD"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37,4</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B868100"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594,4</w:t>
            </w:r>
          </w:p>
        </w:tc>
      </w:tr>
      <w:tr w:rsidR="00E10228" w14:paraId="48B391DE"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1FBB09B8"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Estonie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570A252"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0,1</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2D1012C2"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2 060,5</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5CAC76B0"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1 127,4</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5F523273"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-45,3</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F6650EC"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0,1</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33B6432"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544,9</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87FB2BF"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409,3</w:t>
            </w:r>
          </w:p>
        </w:tc>
        <w:tc>
          <w:tcPr>
            <w:tcW w:w="806" w:type="dxa"/>
            <w:tcBorders>
              <w:top w:val="nil"/>
              <w:left w:val="nil"/>
              <w:bottom w:val="single" w:sz="4" w:space="0" w:color="FFFFFF" w:themeColor="background1"/>
              <w:right w:val="nil"/>
            </w:tcBorders>
            <w:shd w:val="clear" w:color="auto" w:fill="auto"/>
            <w:noWrap/>
            <w:vAlign w:val="bottom"/>
            <w:hideMark/>
          </w:tcPr>
          <w:p w14:paraId="35F92866"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-24,9</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28F90D2"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36,3</w:t>
            </w:r>
          </w:p>
        </w:tc>
      </w:tr>
      <w:tr w:rsidR="00E10228" w14:paraId="3EEF47C9"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2BEFD9BA"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Lettonie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B807383"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0,0</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79DC323E"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387,1</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0F806392"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252,9</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4B789302"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-34,6</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BAC8BB1"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577E894"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134,3</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4226987"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190,8</w:t>
            </w:r>
          </w:p>
        </w:tc>
        <w:tc>
          <w:tcPr>
            <w:tcW w:w="806" w:type="dxa"/>
            <w:tcBorders>
              <w:top w:val="nil"/>
              <w:left w:val="nil"/>
              <w:bottom w:val="single" w:sz="4" w:space="0" w:color="FFFFFF" w:themeColor="background1"/>
              <w:right w:val="nil"/>
            </w:tcBorders>
            <w:shd w:val="clear" w:color="auto" w:fill="auto"/>
            <w:noWrap/>
            <w:vAlign w:val="bottom"/>
            <w:hideMark/>
          </w:tcPr>
          <w:p w14:paraId="6737523B"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42,0</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05A9ABE"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75,4</w:t>
            </w:r>
          </w:p>
        </w:tc>
      </w:tr>
      <w:tr w:rsidR="00E10228" w14:paraId="7B4981AA"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7CA1BEE9"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Lituanie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425E921"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1,6</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1D6D73D4"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14 016,1</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0B014185"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20 168,7</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4A3B32F4"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43,9</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C1E97DA"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0,6</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CB45E8A"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2 640,8</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E9B8D87"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5 117,6</w:t>
            </w:r>
          </w:p>
        </w:tc>
        <w:tc>
          <w:tcPr>
            <w:tcW w:w="806" w:type="dxa"/>
            <w:tcBorders>
              <w:top w:val="nil"/>
              <w:left w:val="nil"/>
              <w:bottom w:val="single" w:sz="4" w:space="0" w:color="FFFFFF" w:themeColor="background1"/>
              <w:right w:val="nil"/>
            </w:tcBorders>
            <w:shd w:val="clear" w:color="auto" w:fill="auto"/>
            <w:noWrap/>
            <w:vAlign w:val="bottom"/>
            <w:hideMark/>
          </w:tcPr>
          <w:p w14:paraId="40915321"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93,8</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22EDFB9"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25,4</w:t>
            </w:r>
          </w:p>
        </w:tc>
      </w:tr>
      <w:tr w:rsidR="00E10228" w14:paraId="77B8F3BD"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4E003F35"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Pologne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A85B62F"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8,5</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76AB126C"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104 329,9</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1BEEA210"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105 321,2</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2CCBF7C9"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1,0</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7EDA7CC"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34B056A"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8 843,2</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01B9836"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7 776,4</w:t>
            </w:r>
          </w:p>
        </w:tc>
        <w:tc>
          <w:tcPr>
            <w:tcW w:w="806" w:type="dxa"/>
            <w:tcBorders>
              <w:top w:val="nil"/>
              <w:left w:val="nil"/>
              <w:bottom w:val="single" w:sz="4" w:space="0" w:color="FFFFFF" w:themeColor="background1"/>
              <w:right w:val="nil"/>
            </w:tcBorders>
            <w:shd w:val="clear" w:color="auto" w:fill="auto"/>
            <w:noWrap/>
            <w:vAlign w:val="bottom"/>
            <w:hideMark/>
          </w:tcPr>
          <w:p w14:paraId="4DAB2E40"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-12,1</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B1A36E6"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7,4</w:t>
            </w:r>
          </w:p>
        </w:tc>
      </w:tr>
      <w:tr w:rsidR="00E10228" w14:paraId="45A4A280"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0D6B7FDE"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Tchéquie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01511D5"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0,7</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7359FC55"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8 008,7</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5E322EB4"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8 200,6</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4636A9E6"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2,4</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A20B5B8"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0,7</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3E83388"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6 428,1</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E0D9A28"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5 714,3</w:t>
            </w:r>
          </w:p>
        </w:tc>
        <w:tc>
          <w:tcPr>
            <w:tcW w:w="806" w:type="dxa"/>
            <w:tcBorders>
              <w:top w:val="nil"/>
              <w:left w:val="nil"/>
              <w:bottom w:val="single" w:sz="4" w:space="0" w:color="FFFFFF" w:themeColor="background1"/>
              <w:right w:val="nil"/>
            </w:tcBorders>
            <w:shd w:val="clear" w:color="auto" w:fill="auto"/>
            <w:noWrap/>
            <w:vAlign w:val="bottom"/>
            <w:hideMark/>
          </w:tcPr>
          <w:p w14:paraId="7ADFE1BF"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-11,1</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9E447D5"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69,7</w:t>
            </w:r>
          </w:p>
        </w:tc>
      </w:tr>
      <w:tr w:rsidR="00E10228" w14:paraId="2914C763"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57FAE689"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Slovaquie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F6AEE09"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0,2</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543AA80F"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950,5</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694E2AA7"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2 139,3</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76C73563"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125,1</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358064F"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0,1</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2F6DB8A"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836,8</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3512AFB"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764,5</w:t>
            </w:r>
          </w:p>
        </w:tc>
        <w:tc>
          <w:tcPr>
            <w:tcW w:w="806" w:type="dxa"/>
            <w:tcBorders>
              <w:top w:val="nil"/>
              <w:left w:val="nil"/>
              <w:bottom w:val="single" w:sz="4" w:space="0" w:color="FFFFFF" w:themeColor="background1"/>
              <w:right w:val="nil"/>
            </w:tcBorders>
            <w:shd w:val="clear" w:color="auto" w:fill="auto"/>
            <w:noWrap/>
            <w:vAlign w:val="bottom"/>
            <w:hideMark/>
          </w:tcPr>
          <w:p w14:paraId="5BEA9DBF"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-8,6</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2B29BED"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35,7</w:t>
            </w:r>
          </w:p>
        </w:tc>
      </w:tr>
      <w:tr w:rsidR="00E10228" w14:paraId="1D567B55"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1D31F736"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Hongrie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0E588B8"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0,7</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20BAB3DE"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8 702,5</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359307E4"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8 342,5</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64A2912A"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-4,1</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BA7E235"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0,1</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29DDEF4"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720,2</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D7EE5FE"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860,9</w:t>
            </w:r>
          </w:p>
        </w:tc>
        <w:tc>
          <w:tcPr>
            <w:tcW w:w="806" w:type="dxa"/>
            <w:tcBorders>
              <w:top w:val="nil"/>
              <w:left w:val="nil"/>
              <w:bottom w:val="single" w:sz="4" w:space="0" w:color="FFFFFF" w:themeColor="background1"/>
              <w:right w:val="nil"/>
            </w:tcBorders>
            <w:shd w:val="clear" w:color="auto" w:fill="auto"/>
            <w:noWrap/>
            <w:vAlign w:val="bottom"/>
            <w:hideMark/>
          </w:tcPr>
          <w:p w14:paraId="084A39B0"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19,5</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293DB72"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10,3</w:t>
            </w:r>
          </w:p>
        </w:tc>
      </w:tr>
      <w:tr w:rsidR="00E10228" w14:paraId="4D3302A6"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19C63A55"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Roumanie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4B8892C"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2,1</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167342F7"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27 371,5</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5EDCB95F"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25 487,1</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54C061D4"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-6,9</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375E691"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0,2</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D1B3FBE"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1 253,6</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9690143"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1 316,3</w:t>
            </w:r>
          </w:p>
        </w:tc>
        <w:tc>
          <w:tcPr>
            <w:tcW w:w="806" w:type="dxa"/>
            <w:tcBorders>
              <w:top w:val="nil"/>
              <w:left w:val="nil"/>
              <w:bottom w:val="single" w:sz="4" w:space="0" w:color="FFFFFF" w:themeColor="background1"/>
              <w:right w:val="nil"/>
            </w:tcBorders>
            <w:shd w:val="clear" w:color="auto" w:fill="auto"/>
            <w:noWrap/>
            <w:vAlign w:val="bottom"/>
            <w:hideMark/>
          </w:tcPr>
          <w:p w14:paraId="7C624BBE"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5,0</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200A125"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5,2</w:t>
            </w:r>
          </w:p>
        </w:tc>
      </w:tr>
      <w:tr w:rsidR="00E10228" w14:paraId="13DEF600"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38F97DF6"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Bulgarie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662102C"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0,2</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0B133E9B"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2 978,0</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7C5572E2"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2 947,9</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7525393E"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-1,0</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011E427"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96A83E9"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2 066,1</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6535005"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319,9</w:t>
            </w:r>
          </w:p>
        </w:tc>
        <w:tc>
          <w:tcPr>
            <w:tcW w:w="806" w:type="dxa"/>
            <w:tcBorders>
              <w:top w:val="nil"/>
              <w:left w:val="nil"/>
              <w:bottom w:val="single" w:sz="4" w:space="0" w:color="FFFFFF" w:themeColor="background1"/>
              <w:right w:val="nil"/>
            </w:tcBorders>
            <w:shd w:val="clear" w:color="auto" w:fill="auto"/>
            <w:noWrap/>
            <w:vAlign w:val="bottom"/>
            <w:hideMark/>
          </w:tcPr>
          <w:p w14:paraId="0531A982"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-84,5</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D40A3F6"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10,9</w:t>
            </w:r>
          </w:p>
        </w:tc>
      </w:tr>
      <w:tr w:rsidR="00E10228" w14:paraId="0CBAAEC1"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6B902B79"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Slovénie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4E0BA1E"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0,0</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0C50DFCD"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640,8</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15A67937"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309,3</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2E85003C"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-51,7</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F66BBB0"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33B2A20"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361,8</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FCBE9A2"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391,9</w:t>
            </w:r>
          </w:p>
        </w:tc>
        <w:tc>
          <w:tcPr>
            <w:tcW w:w="806" w:type="dxa"/>
            <w:tcBorders>
              <w:top w:val="nil"/>
              <w:left w:val="nil"/>
              <w:bottom w:val="single" w:sz="4" w:space="0" w:color="FFFFFF" w:themeColor="background1"/>
              <w:right w:val="nil"/>
            </w:tcBorders>
            <w:shd w:val="clear" w:color="auto" w:fill="auto"/>
            <w:noWrap/>
            <w:vAlign w:val="bottom"/>
            <w:hideMark/>
          </w:tcPr>
          <w:p w14:paraId="7CCEEE26"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8,3</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9932337"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126,7</w:t>
            </w:r>
          </w:p>
        </w:tc>
      </w:tr>
      <w:tr w:rsidR="00E10228" w14:paraId="56DBFF94"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70CED74F"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Croatie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A26F08D"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0,1</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52E73EFE"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949,1</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0C687416"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906,6</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1E3A335B"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-4,5</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9D0E8D9"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0,1</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E81AEEA"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477,5</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02017EE"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520,2</w:t>
            </w:r>
          </w:p>
        </w:tc>
        <w:tc>
          <w:tcPr>
            <w:tcW w:w="806" w:type="dxa"/>
            <w:tcBorders>
              <w:top w:val="nil"/>
              <w:left w:val="nil"/>
              <w:bottom w:val="single" w:sz="4" w:space="0" w:color="FFFFFF" w:themeColor="background1"/>
              <w:right w:val="nil"/>
            </w:tcBorders>
            <w:shd w:val="clear" w:color="auto" w:fill="auto"/>
            <w:noWrap/>
            <w:vAlign w:val="bottom"/>
            <w:hideMark/>
          </w:tcPr>
          <w:p w14:paraId="1A42E5E5"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8,9</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37A5357"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57,4</w:t>
            </w:r>
          </w:p>
        </w:tc>
      </w:tr>
      <w:tr w:rsidR="00E10228" w14:paraId="3A78AD07"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50E8BBD6"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Chypre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B7AF03D"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0,0</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065F126E"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0,1</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0852B744"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8,1</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684D731C" w14:textId="77777777" w:rsidR="00E10228" w:rsidRPr="0036109B" w:rsidRDefault="00E10228" w:rsidP="00CF7FFA">
            <w:pPr>
              <w:spacing w:after="0" w:line="240" w:lineRule="auto"/>
              <w:jc w:val="right"/>
              <w:rPr>
                <w:rFonts w:eastAsia="Times New Roman"/>
                <w:color w:val="000000"/>
                <w:sz w:val="14"/>
                <w:szCs w:val="14"/>
                <w:lang w:eastAsia="nl-BE"/>
              </w:rPr>
            </w:pPr>
            <w:r w:rsidRPr="37382CDB">
              <w:rPr>
                <w:rFonts w:eastAsia="Times New Roman"/>
                <w:color w:val="000000" w:themeColor="text1"/>
                <w:sz w:val="14"/>
                <w:szCs w:val="14"/>
                <w:lang w:val="fr" w:eastAsia="nl-BE"/>
              </w:rPr>
              <w:t>14 432,1</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E45D6FB"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0,1</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85544E8"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2 246,0</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A415D82"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414,0</w:t>
            </w:r>
          </w:p>
        </w:tc>
        <w:tc>
          <w:tcPr>
            <w:tcW w:w="806" w:type="dxa"/>
            <w:tcBorders>
              <w:top w:val="nil"/>
              <w:left w:val="nil"/>
              <w:bottom w:val="single" w:sz="4" w:space="0" w:color="FFFFFF" w:themeColor="background1"/>
              <w:right w:val="nil"/>
            </w:tcBorders>
            <w:shd w:val="clear" w:color="auto" w:fill="auto"/>
            <w:noWrap/>
            <w:vAlign w:val="bottom"/>
            <w:hideMark/>
          </w:tcPr>
          <w:p w14:paraId="18AD2D47"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-81,6</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6AEC998"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5 087,0</w:t>
            </w:r>
          </w:p>
        </w:tc>
      </w:tr>
      <w:tr w:rsidR="00E10228" w14:paraId="3E9191C9" w14:textId="77777777" w:rsidTr="00CF7FFA">
        <w:tc>
          <w:tcPr>
            <w:tcW w:w="1838"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292B318" w14:textId="77777777" w:rsidR="00E10228" w:rsidRPr="0036109B" w:rsidRDefault="00E10228" w:rsidP="00CF7FFA">
            <w:pPr>
              <w:spacing w:after="0" w:line="240" w:lineRule="auto"/>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Royaume-Uni</w:t>
            </w:r>
          </w:p>
        </w:tc>
        <w:tc>
          <w:tcPr>
            <w:tcW w:w="805" w:type="dxa"/>
            <w:tcBorders>
              <w:top w:val="single" w:sz="4" w:space="0" w:color="auto"/>
              <w:left w:val="single" w:sz="4" w:space="0" w:color="auto"/>
              <w:bottom w:val="single" w:sz="4" w:space="0" w:color="auto"/>
              <w:right w:val="single" w:sz="4" w:space="0" w:color="FFFFFF" w:themeColor="background1"/>
            </w:tcBorders>
            <w:shd w:val="clear" w:color="auto" w:fill="D9D9D9" w:themeFill="background1" w:themeFillShade="D9"/>
            <w:vAlign w:val="bottom"/>
            <w:hideMark/>
          </w:tcPr>
          <w:p w14:paraId="10ED797C"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0,7</w:t>
            </w:r>
          </w:p>
        </w:tc>
        <w:tc>
          <w:tcPr>
            <w:tcW w:w="896" w:type="dxa"/>
            <w:tcBorders>
              <w:top w:val="single" w:sz="4" w:space="0" w:color="auto"/>
              <w:left w:val="nil"/>
              <w:bottom w:val="single" w:sz="4" w:space="0" w:color="auto"/>
              <w:right w:val="single" w:sz="4" w:space="0" w:color="FFFFFF" w:themeColor="background1"/>
            </w:tcBorders>
            <w:shd w:val="clear" w:color="auto" w:fill="D9D9D9" w:themeFill="background1" w:themeFillShade="D9"/>
            <w:vAlign w:val="bottom"/>
            <w:hideMark/>
          </w:tcPr>
          <w:p w14:paraId="015A54C1"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8 461,6</w:t>
            </w:r>
          </w:p>
        </w:tc>
        <w:tc>
          <w:tcPr>
            <w:tcW w:w="992" w:type="dxa"/>
            <w:tcBorders>
              <w:top w:val="single" w:sz="4" w:space="0" w:color="auto"/>
              <w:left w:val="nil"/>
              <w:bottom w:val="single" w:sz="4" w:space="0" w:color="auto"/>
              <w:right w:val="single" w:sz="4" w:space="0" w:color="FFFFFF" w:themeColor="background1"/>
            </w:tcBorders>
            <w:shd w:val="clear" w:color="auto" w:fill="D9D9D9" w:themeFill="background1" w:themeFillShade="D9"/>
            <w:vAlign w:val="bottom"/>
            <w:hideMark/>
          </w:tcPr>
          <w:p w14:paraId="01722744"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8 634,0</w:t>
            </w: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3590332"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2,0</w:t>
            </w:r>
          </w:p>
        </w:tc>
        <w:tc>
          <w:tcPr>
            <w:tcW w:w="638"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58DC4993"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2,9</w:t>
            </w:r>
          </w:p>
        </w:tc>
        <w:tc>
          <w:tcPr>
            <w:tcW w:w="805"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15FF64A2"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19 146,2</w:t>
            </w:r>
          </w:p>
        </w:tc>
        <w:tc>
          <w:tcPr>
            <w:tcW w:w="806"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01C45CF1"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23 764,1</w:t>
            </w:r>
          </w:p>
        </w:tc>
        <w:tc>
          <w:tcPr>
            <w:tcW w:w="806" w:type="dxa"/>
            <w:tcBorders>
              <w:top w:val="single" w:sz="4" w:space="0" w:color="auto"/>
              <w:left w:val="nil"/>
              <w:bottom w:val="single" w:sz="4" w:space="0" w:color="auto"/>
              <w:right w:val="nil"/>
            </w:tcBorders>
            <w:shd w:val="clear" w:color="auto" w:fill="D9D9D9" w:themeFill="background1" w:themeFillShade="D9"/>
            <w:noWrap/>
            <w:vAlign w:val="bottom"/>
            <w:hideMark/>
          </w:tcPr>
          <w:p w14:paraId="652E44F8"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24,1</w:t>
            </w:r>
          </w:p>
        </w:tc>
        <w:tc>
          <w:tcPr>
            <w:tcW w:w="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B18B982"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275,2</w:t>
            </w:r>
          </w:p>
        </w:tc>
      </w:tr>
      <w:tr w:rsidR="00E10228" w14:paraId="621C525B"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71929286"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Norvège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F0C1BF6"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0,0</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2E997AD2"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30,4</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51098495"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38,5</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75302E1A"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26,8</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465A3D0"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0,1</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A4A52E1"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896,1</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05A664A"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976,1</w:t>
            </w:r>
          </w:p>
        </w:tc>
        <w:tc>
          <w:tcPr>
            <w:tcW w:w="806" w:type="dxa"/>
            <w:tcBorders>
              <w:top w:val="nil"/>
              <w:left w:val="nil"/>
              <w:bottom w:val="single" w:sz="4" w:space="0" w:color="FFFFFF" w:themeColor="background1"/>
              <w:right w:val="nil"/>
            </w:tcBorders>
            <w:shd w:val="clear" w:color="auto" w:fill="auto"/>
            <w:noWrap/>
            <w:vAlign w:val="bottom"/>
            <w:hideMark/>
          </w:tcPr>
          <w:p w14:paraId="57131BF1"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8,9</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323DE85"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2 534,4</w:t>
            </w:r>
          </w:p>
        </w:tc>
      </w:tr>
      <w:tr w:rsidR="00E10228" w14:paraId="4033D971"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7390562E"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Suisse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3471CD9"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0,1</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5A2A674E"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1 062,9</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27C9F734"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639,3</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0A1D4489"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-39,9</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FDAE98E"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1,4</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C3E9F64"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11 084,4</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97578A5"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10 930,3</w:t>
            </w:r>
          </w:p>
        </w:tc>
        <w:tc>
          <w:tcPr>
            <w:tcW w:w="806" w:type="dxa"/>
            <w:tcBorders>
              <w:top w:val="nil"/>
              <w:left w:val="nil"/>
              <w:bottom w:val="single" w:sz="4" w:space="0" w:color="FFFFFF" w:themeColor="background1"/>
              <w:right w:val="nil"/>
            </w:tcBorders>
            <w:shd w:val="clear" w:color="auto" w:fill="auto"/>
            <w:noWrap/>
            <w:vAlign w:val="bottom"/>
            <w:hideMark/>
          </w:tcPr>
          <w:p w14:paraId="2AA2506C"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-1,4</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FF40A17"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1 709,7</w:t>
            </w:r>
          </w:p>
        </w:tc>
      </w:tr>
      <w:tr w:rsidR="00E10228" w14:paraId="3CDC469E"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202989A9"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Turquie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492E86A"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3,8</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42EB2A69"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46 790,9</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52C6DA61"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46 729,1</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31B4AC15"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-0,1</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B3A6A3B"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0,1</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B0A5A04"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230,1</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72BF33E"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466,4</w:t>
            </w:r>
          </w:p>
        </w:tc>
        <w:tc>
          <w:tcPr>
            <w:tcW w:w="806" w:type="dxa"/>
            <w:tcBorders>
              <w:top w:val="nil"/>
              <w:left w:val="nil"/>
              <w:bottom w:val="single" w:sz="4" w:space="0" w:color="FFFFFF" w:themeColor="background1"/>
              <w:right w:val="nil"/>
            </w:tcBorders>
            <w:shd w:val="clear" w:color="auto" w:fill="auto"/>
            <w:noWrap/>
            <w:vAlign w:val="bottom"/>
            <w:hideMark/>
          </w:tcPr>
          <w:p w14:paraId="5C1F564E"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102,7</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93EE4CC"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1,0</w:t>
            </w:r>
          </w:p>
        </w:tc>
      </w:tr>
      <w:tr w:rsidR="00E10228" w14:paraId="3A73B2B1"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698DF370"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Bosnie-Herzégovine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5C0F9F1"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0,2</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57413564"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2 060,8</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7BAA28EC"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2 108,0</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49F0DFA4"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2,3</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8C084CC"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CB3675E"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13,0</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9915226"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27,0</w:t>
            </w:r>
          </w:p>
        </w:tc>
        <w:tc>
          <w:tcPr>
            <w:tcW w:w="806" w:type="dxa"/>
            <w:tcBorders>
              <w:top w:val="nil"/>
              <w:left w:val="nil"/>
              <w:bottom w:val="single" w:sz="4" w:space="0" w:color="FFFFFF" w:themeColor="background1"/>
              <w:right w:val="nil"/>
            </w:tcBorders>
            <w:shd w:val="clear" w:color="auto" w:fill="auto"/>
            <w:noWrap/>
            <w:vAlign w:val="bottom"/>
            <w:hideMark/>
          </w:tcPr>
          <w:p w14:paraId="77093CD7"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107,3</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86FF76C"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1,3</w:t>
            </w:r>
          </w:p>
        </w:tc>
      </w:tr>
      <w:tr w:rsidR="00E10228" w14:paraId="14432063"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039AFC95"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Kosovo</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BD89028"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0,1</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6E1F38ED"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763,2</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3ED7D99A"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825,3</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79C3CC5F"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8,1</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7845A23"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B82D3D8"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53,7</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505EB39"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49,9</w:t>
            </w:r>
          </w:p>
        </w:tc>
        <w:tc>
          <w:tcPr>
            <w:tcW w:w="806" w:type="dxa"/>
            <w:tcBorders>
              <w:top w:val="nil"/>
              <w:left w:val="nil"/>
              <w:bottom w:val="single" w:sz="4" w:space="0" w:color="FFFFFF" w:themeColor="background1"/>
              <w:right w:val="nil"/>
            </w:tcBorders>
            <w:shd w:val="clear" w:color="auto" w:fill="auto"/>
            <w:noWrap/>
            <w:vAlign w:val="bottom"/>
            <w:hideMark/>
          </w:tcPr>
          <w:p w14:paraId="0F1DB6D0"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-7,0</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1FAF985"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6,0</w:t>
            </w:r>
          </w:p>
        </w:tc>
      </w:tr>
      <w:tr w:rsidR="00E10228" w14:paraId="17A5EAEC"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6E3E2ADD"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Macédoine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1FF5A44"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0,0</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1C36D7D2"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727,3</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7F024317"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437,8</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14D4C537"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-39,8</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19E8C32"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A75435C"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58,6</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FA62185"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54,5</w:t>
            </w:r>
          </w:p>
        </w:tc>
        <w:tc>
          <w:tcPr>
            <w:tcW w:w="806" w:type="dxa"/>
            <w:tcBorders>
              <w:top w:val="nil"/>
              <w:left w:val="nil"/>
              <w:bottom w:val="single" w:sz="4" w:space="0" w:color="FFFFFF" w:themeColor="background1"/>
              <w:right w:val="nil"/>
            </w:tcBorders>
            <w:shd w:val="clear" w:color="auto" w:fill="auto"/>
            <w:noWrap/>
            <w:vAlign w:val="bottom"/>
            <w:hideMark/>
          </w:tcPr>
          <w:p w14:paraId="2360EA52"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-7,0</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80A2122"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12,4</w:t>
            </w:r>
          </w:p>
        </w:tc>
      </w:tr>
      <w:tr w:rsidR="00E10228" w14:paraId="7984CB98"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533223D8"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Serbie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595F394"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0,7</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24AE5400"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8 768,2</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4ED958AB"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8 230,2</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032B7BB4"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-6,1</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6356B3A"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A5F6AD0"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152,1</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99176C4"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213,5</w:t>
            </w:r>
          </w:p>
        </w:tc>
        <w:tc>
          <w:tcPr>
            <w:tcW w:w="806" w:type="dxa"/>
            <w:tcBorders>
              <w:top w:val="nil"/>
              <w:left w:val="nil"/>
              <w:bottom w:val="single" w:sz="4" w:space="0" w:color="FFFFFF" w:themeColor="background1"/>
              <w:right w:val="nil"/>
            </w:tcBorders>
            <w:shd w:val="clear" w:color="auto" w:fill="auto"/>
            <w:noWrap/>
            <w:vAlign w:val="bottom"/>
            <w:hideMark/>
          </w:tcPr>
          <w:p w14:paraId="5C8628CC"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40,4</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1D81405"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2,6</w:t>
            </w:r>
          </w:p>
        </w:tc>
      </w:tr>
      <w:tr w:rsidR="00E10228" w14:paraId="7CBAB971"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768386DE"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Albanie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ED9EE35"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0,0</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79942EF5"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885,4</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44DA66B0"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336,9</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09A2472E"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-62,0</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1917000"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38283FF"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7,4</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10E98DE"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8,6</w:t>
            </w:r>
          </w:p>
        </w:tc>
        <w:tc>
          <w:tcPr>
            <w:tcW w:w="806" w:type="dxa"/>
            <w:tcBorders>
              <w:top w:val="nil"/>
              <w:left w:val="nil"/>
              <w:bottom w:val="single" w:sz="4" w:space="0" w:color="FFFFFF" w:themeColor="background1"/>
              <w:right w:val="nil"/>
            </w:tcBorders>
            <w:shd w:val="clear" w:color="auto" w:fill="auto"/>
            <w:noWrap/>
            <w:vAlign w:val="bottom"/>
            <w:hideMark/>
          </w:tcPr>
          <w:p w14:paraId="180B3E37"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16,6</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25E74FD"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2,6</w:t>
            </w:r>
          </w:p>
        </w:tc>
      </w:tr>
      <w:tr w:rsidR="00E10228" w14:paraId="56DF66DC"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2269125A" w14:textId="77777777" w:rsidR="00E10228" w:rsidRPr="0036109B" w:rsidRDefault="00E10228" w:rsidP="00CF7FFA">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Ukraine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3F1B946"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0,9</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5B5D7D35"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9 947,2</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2C993EBC"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10 996,4</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0E087C08"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10,5</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68AE830"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9FA7CDD"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150,6</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994F4D7"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85,1</w:t>
            </w:r>
          </w:p>
        </w:tc>
        <w:tc>
          <w:tcPr>
            <w:tcW w:w="806" w:type="dxa"/>
            <w:tcBorders>
              <w:top w:val="nil"/>
              <w:left w:val="nil"/>
              <w:bottom w:val="single" w:sz="4" w:space="0" w:color="FFFFFF" w:themeColor="background1"/>
              <w:right w:val="nil"/>
            </w:tcBorders>
            <w:shd w:val="clear" w:color="auto" w:fill="auto"/>
            <w:noWrap/>
            <w:vAlign w:val="bottom"/>
            <w:hideMark/>
          </w:tcPr>
          <w:p w14:paraId="5281ABAE"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-43,5</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3A4084D"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0,8</w:t>
            </w:r>
          </w:p>
        </w:tc>
      </w:tr>
      <w:tr w:rsidR="00E10228" w14:paraId="36B623F3"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5379ED8C" w14:textId="77777777" w:rsidR="00E10228" w:rsidRPr="0036109B" w:rsidRDefault="00E10228" w:rsidP="00CF7FFA">
            <w:pPr>
              <w:spacing w:after="0" w:line="240" w:lineRule="auto"/>
              <w:rPr>
                <w:rFonts w:eastAsia="Times New Roman" w:cstheme="minorHAnsi"/>
                <w:color w:val="000000"/>
                <w:sz w:val="14"/>
                <w:szCs w:val="14"/>
                <w:lang w:eastAsia="nl-BE"/>
              </w:rPr>
            </w:pPr>
            <w:r>
              <w:rPr>
                <w:rFonts w:eastAsia="Times New Roman" w:cstheme="minorHAnsi"/>
                <w:color w:val="000000"/>
                <w:sz w:val="14"/>
                <w:szCs w:val="14"/>
                <w:lang w:val="fr" w:eastAsia="nl-BE"/>
              </w:rPr>
              <w:t>Biélorussie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79AF5B8"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0,1</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5ED14FDC"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1 006,3</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1EF197B8"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1 071,0</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35563DCB"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6,4</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88D6751"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3C16EB5"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0,4</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EC0FF40"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0,7</w:t>
            </w:r>
          </w:p>
        </w:tc>
        <w:tc>
          <w:tcPr>
            <w:tcW w:w="806" w:type="dxa"/>
            <w:tcBorders>
              <w:top w:val="nil"/>
              <w:left w:val="nil"/>
              <w:bottom w:val="single" w:sz="4" w:space="0" w:color="FFFFFF" w:themeColor="background1"/>
              <w:right w:val="nil"/>
            </w:tcBorders>
            <w:shd w:val="clear" w:color="auto" w:fill="auto"/>
            <w:noWrap/>
            <w:vAlign w:val="bottom"/>
            <w:hideMark/>
          </w:tcPr>
          <w:p w14:paraId="2D0D30DD"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51,7</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E18565D" w14:textId="77777777" w:rsidR="00E10228" w:rsidRPr="0036109B" w:rsidRDefault="00E10228" w:rsidP="00CF7FFA">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fr" w:eastAsia="nl-BE"/>
              </w:rPr>
              <w:t>0,1</w:t>
            </w:r>
          </w:p>
        </w:tc>
      </w:tr>
      <w:tr w:rsidR="00E10228" w14:paraId="5D7CB868" w14:textId="77777777" w:rsidTr="00CF7FFA">
        <w:tc>
          <w:tcPr>
            <w:tcW w:w="1838" w:type="dxa"/>
            <w:tcBorders>
              <w:top w:val="nil"/>
              <w:left w:val="single" w:sz="4" w:space="0" w:color="auto"/>
              <w:bottom w:val="single" w:sz="4" w:space="0" w:color="FFFFFF" w:themeColor="background1"/>
              <w:right w:val="nil"/>
            </w:tcBorders>
            <w:shd w:val="clear" w:color="auto" w:fill="BFBFBF" w:themeFill="background1" w:themeFillShade="BF"/>
            <w:vAlign w:val="bottom"/>
          </w:tcPr>
          <w:p w14:paraId="048DE5FE" w14:textId="77777777" w:rsidR="00E10228" w:rsidRPr="00FF4AA5" w:rsidRDefault="00E10228" w:rsidP="00CF7FFA">
            <w:pPr>
              <w:spacing w:after="0" w:line="240" w:lineRule="auto"/>
              <w:rPr>
                <w:rFonts w:eastAsia="Times New Roman" w:cstheme="minorHAnsi"/>
                <w:b/>
                <w:bCs/>
                <w:color w:val="000000"/>
                <w:sz w:val="14"/>
                <w:szCs w:val="14"/>
                <w:lang w:eastAsia="nl-BE"/>
              </w:rPr>
            </w:pPr>
            <w:r w:rsidRPr="00FF4AA5">
              <w:rPr>
                <w:rFonts w:eastAsia="Times New Roman" w:cstheme="minorHAnsi"/>
                <w:b/>
                <w:bCs/>
                <w:color w:val="000000"/>
                <w:sz w:val="14"/>
                <w:szCs w:val="14"/>
                <w:lang w:val="fr" w:eastAsia="nl-BE"/>
              </w:rPr>
              <w:t>Reste de l’Europe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BFBFBF" w:themeFill="background1" w:themeFillShade="BF"/>
            <w:vAlign w:val="bottom"/>
          </w:tcPr>
          <w:p w14:paraId="52BCE40A" w14:textId="77777777" w:rsidR="00E10228" w:rsidRPr="00FF4AA5" w:rsidRDefault="00E10228" w:rsidP="00CF7FFA">
            <w:pPr>
              <w:spacing w:after="0" w:line="240" w:lineRule="auto"/>
              <w:jc w:val="right"/>
              <w:rPr>
                <w:rFonts w:eastAsia="Times New Roman"/>
                <w:b/>
                <w:bCs/>
                <w:color w:val="000000"/>
                <w:sz w:val="14"/>
                <w:szCs w:val="14"/>
                <w:lang w:eastAsia="nl-BE"/>
              </w:rPr>
            </w:pPr>
            <w:r w:rsidRPr="37382CDB">
              <w:rPr>
                <w:rFonts w:eastAsia="Times New Roman"/>
                <w:b/>
                <w:bCs/>
                <w:color w:val="000000" w:themeColor="text1"/>
                <w:sz w:val="14"/>
                <w:szCs w:val="14"/>
                <w:lang w:val="fr" w:eastAsia="nl-BE"/>
              </w:rPr>
              <w:t>5,8</w:t>
            </w:r>
          </w:p>
        </w:tc>
        <w:tc>
          <w:tcPr>
            <w:tcW w:w="896" w:type="dxa"/>
            <w:tcBorders>
              <w:top w:val="nil"/>
              <w:left w:val="nil"/>
              <w:bottom w:val="single" w:sz="4" w:space="0" w:color="FFFFFF" w:themeColor="background1"/>
              <w:right w:val="single" w:sz="4" w:space="0" w:color="FFFFFF" w:themeColor="background1"/>
            </w:tcBorders>
            <w:shd w:val="clear" w:color="auto" w:fill="BFBFBF" w:themeFill="background1" w:themeFillShade="BF"/>
            <w:vAlign w:val="bottom"/>
          </w:tcPr>
          <w:p w14:paraId="33853843" w14:textId="77777777" w:rsidR="00E10228" w:rsidRPr="00FF4AA5" w:rsidRDefault="00E10228" w:rsidP="00CF7FFA">
            <w:pPr>
              <w:spacing w:after="0" w:line="240" w:lineRule="auto"/>
              <w:jc w:val="right"/>
              <w:rPr>
                <w:rFonts w:eastAsia="Times New Roman"/>
                <w:b/>
                <w:bCs/>
                <w:color w:val="000000"/>
                <w:sz w:val="14"/>
                <w:szCs w:val="14"/>
                <w:lang w:eastAsia="nl-BE"/>
              </w:rPr>
            </w:pPr>
            <w:r w:rsidRPr="37382CDB">
              <w:rPr>
                <w:rFonts w:eastAsia="Times New Roman"/>
                <w:b/>
                <w:bCs/>
                <w:color w:val="000000" w:themeColor="text1"/>
                <w:sz w:val="14"/>
                <w:szCs w:val="14"/>
                <w:lang w:val="fr" w:eastAsia="nl-BE"/>
              </w:rPr>
              <w:t>72 233,1</w:t>
            </w:r>
          </w:p>
        </w:tc>
        <w:tc>
          <w:tcPr>
            <w:tcW w:w="992" w:type="dxa"/>
            <w:tcBorders>
              <w:top w:val="nil"/>
              <w:left w:val="nil"/>
              <w:bottom w:val="single" w:sz="4" w:space="0" w:color="FFFFFF" w:themeColor="background1"/>
              <w:right w:val="single" w:sz="4" w:space="0" w:color="FFFFFF" w:themeColor="background1"/>
            </w:tcBorders>
            <w:shd w:val="clear" w:color="auto" w:fill="BFBFBF" w:themeFill="background1" w:themeFillShade="BF"/>
            <w:vAlign w:val="bottom"/>
          </w:tcPr>
          <w:p w14:paraId="18CC3A02" w14:textId="77777777" w:rsidR="00E10228" w:rsidRPr="00FF4AA5" w:rsidRDefault="00E10228" w:rsidP="00CF7FFA">
            <w:pPr>
              <w:spacing w:after="0" w:line="240" w:lineRule="auto"/>
              <w:jc w:val="right"/>
              <w:rPr>
                <w:rFonts w:eastAsia="Times New Roman"/>
                <w:b/>
                <w:bCs/>
                <w:color w:val="000000"/>
                <w:sz w:val="14"/>
                <w:szCs w:val="14"/>
                <w:lang w:eastAsia="nl-BE"/>
              </w:rPr>
            </w:pPr>
            <w:r w:rsidRPr="37382CDB">
              <w:rPr>
                <w:rFonts w:eastAsia="Times New Roman"/>
                <w:b/>
                <w:bCs/>
                <w:color w:val="000000" w:themeColor="text1"/>
                <w:sz w:val="14"/>
                <w:szCs w:val="14"/>
                <w:lang w:val="fr" w:eastAsia="nl-BE"/>
              </w:rPr>
              <w:t>71 465,3</w:t>
            </w:r>
          </w:p>
        </w:tc>
        <w:tc>
          <w:tcPr>
            <w:tcW w:w="735" w:type="dxa"/>
            <w:tcBorders>
              <w:top w:val="nil"/>
              <w:left w:val="nil"/>
              <w:bottom w:val="single" w:sz="4" w:space="0" w:color="FFFFFF" w:themeColor="background1"/>
              <w:right w:val="single" w:sz="4" w:space="0" w:color="auto"/>
            </w:tcBorders>
            <w:shd w:val="clear" w:color="auto" w:fill="BFBFBF" w:themeFill="background1" w:themeFillShade="BF"/>
            <w:noWrap/>
            <w:vAlign w:val="bottom"/>
          </w:tcPr>
          <w:p w14:paraId="6DDA2621" w14:textId="77777777" w:rsidR="00E10228" w:rsidRPr="00FF4AA5" w:rsidRDefault="00E10228" w:rsidP="00CF7FFA">
            <w:pPr>
              <w:spacing w:after="0" w:line="240" w:lineRule="auto"/>
              <w:jc w:val="right"/>
              <w:rPr>
                <w:rFonts w:eastAsia="Times New Roman"/>
                <w:b/>
                <w:bCs/>
                <w:color w:val="000000"/>
                <w:sz w:val="14"/>
                <w:szCs w:val="14"/>
                <w:lang w:eastAsia="nl-BE"/>
              </w:rPr>
            </w:pPr>
            <w:r w:rsidRPr="37382CDB">
              <w:rPr>
                <w:rFonts w:eastAsia="Times New Roman"/>
                <w:b/>
                <w:bCs/>
                <w:color w:val="000000" w:themeColor="text1"/>
                <w:sz w:val="14"/>
                <w:szCs w:val="14"/>
                <w:lang w:val="fr" w:eastAsia="nl-BE"/>
              </w:rPr>
              <w:t>-1,1</w:t>
            </w:r>
          </w:p>
        </w:tc>
        <w:tc>
          <w:tcPr>
            <w:tcW w:w="638" w:type="dxa"/>
            <w:tcBorders>
              <w:top w:val="nil"/>
              <w:left w:val="nil"/>
              <w:bottom w:val="single" w:sz="4" w:space="0" w:color="FFFFFF" w:themeColor="background1"/>
              <w:right w:val="single" w:sz="4" w:space="0" w:color="FFFFFF" w:themeColor="background1"/>
            </w:tcBorders>
            <w:shd w:val="clear" w:color="auto" w:fill="BFBFBF" w:themeFill="background1" w:themeFillShade="BF"/>
            <w:noWrap/>
            <w:vAlign w:val="bottom"/>
          </w:tcPr>
          <w:p w14:paraId="64F5C429" w14:textId="77777777" w:rsidR="00E10228" w:rsidRPr="00FF4AA5" w:rsidRDefault="00E10228" w:rsidP="00CF7FFA">
            <w:pPr>
              <w:spacing w:after="0" w:line="240" w:lineRule="auto"/>
              <w:jc w:val="right"/>
              <w:rPr>
                <w:rFonts w:eastAsia="Times New Roman"/>
                <w:b/>
                <w:bCs/>
                <w:color w:val="000000"/>
                <w:sz w:val="14"/>
                <w:szCs w:val="14"/>
                <w:lang w:eastAsia="nl-BE"/>
              </w:rPr>
            </w:pPr>
            <w:r w:rsidRPr="37382CDB">
              <w:rPr>
                <w:rFonts w:eastAsia="Times New Roman"/>
                <w:b/>
                <w:bCs/>
                <w:color w:val="000000" w:themeColor="text1"/>
                <w:sz w:val="14"/>
                <w:szCs w:val="14"/>
                <w:lang w:val="fr" w:eastAsia="nl-BE"/>
              </w:rPr>
              <w:t>1,7</w:t>
            </w:r>
          </w:p>
        </w:tc>
        <w:tc>
          <w:tcPr>
            <w:tcW w:w="805" w:type="dxa"/>
            <w:tcBorders>
              <w:top w:val="nil"/>
              <w:left w:val="nil"/>
              <w:bottom w:val="single" w:sz="4" w:space="0" w:color="FFFFFF" w:themeColor="background1"/>
              <w:right w:val="single" w:sz="4" w:space="0" w:color="FFFFFF" w:themeColor="background1"/>
            </w:tcBorders>
            <w:shd w:val="clear" w:color="auto" w:fill="BFBFBF" w:themeFill="background1" w:themeFillShade="BF"/>
            <w:noWrap/>
            <w:vAlign w:val="bottom"/>
          </w:tcPr>
          <w:p w14:paraId="4373429E" w14:textId="77777777" w:rsidR="00E10228" w:rsidRPr="00FF4AA5" w:rsidRDefault="00E10228" w:rsidP="00CF7FFA">
            <w:pPr>
              <w:spacing w:after="0" w:line="240" w:lineRule="auto"/>
              <w:jc w:val="right"/>
              <w:rPr>
                <w:rFonts w:eastAsia="Times New Roman"/>
                <w:b/>
                <w:bCs/>
                <w:color w:val="000000"/>
                <w:sz w:val="14"/>
                <w:szCs w:val="14"/>
                <w:lang w:eastAsia="nl-BE"/>
              </w:rPr>
            </w:pPr>
            <w:r w:rsidRPr="37382CDB">
              <w:rPr>
                <w:rFonts w:eastAsia="Times New Roman"/>
                <w:b/>
                <w:bCs/>
                <w:color w:val="000000" w:themeColor="text1"/>
                <w:sz w:val="14"/>
                <w:szCs w:val="14"/>
                <w:lang w:val="fr" w:eastAsia="nl-BE"/>
              </w:rPr>
              <w:t>13 914,1</w:t>
            </w:r>
          </w:p>
        </w:tc>
        <w:tc>
          <w:tcPr>
            <w:tcW w:w="806" w:type="dxa"/>
            <w:tcBorders>
              <w:top w:val="nil"/>
              <w:left w:val="nil"/>
              <w:bottom w:val="single" w:sz="4" w:space="0" w:color="FFFFFF" w:themeColor="background1"/>
              <w:right w:val="single" w:sz="4" w:space="0" w:color="FFFFFF" w:themeColor="background1"/>
            </w:tcBorders>
            <w:shd w:val="clear" w:color="auto" w:fill="BFBFBF" w:themeFill="background1" w:themeFillShade="BF"/>
            <w:noWrap/>
            <w:vAlign w:val="bottom"/>
          </w:tcPr>
          <w:p w14:paraId="37CF8C8D" w14:textId="77777777" w:rsidR="00E10228" w:rsidRPr="00FF4AA5" w:rsidRDefault="00E10228" w:rsidP="00CF7FFA">
            <w:pPr>
              <w:spacing w:after="0" w:line="240" w:lineRule="auto"/>
              <w:jc w:val="right"/>
              <w:rPr>
                <w:rFonts w:eastAsia="Times New Roman"/>
                <w:b/>
                <w:bCs/>
                <w:color w:val="000000"/>
                <w:sz w:val="14"/>
                <w:szCs w:val="14"/>
                <w:lang w:eastAsia="nl-BE"/>
              </w:rPr>
            </w:pPr>
            <w:r w:rsidRPr="37382CDB">
              <w:rPr>
                <w:rFonts w:eastAsia="Times New Roman"/>
                <w:b/>
                <w:bCs/>
                <w:color w:val="000000" w:themeColor="text1"/>
                <w:sz w:val="14"/>
                <w:szCs w:val="14"/>
                <w:lang w:val="fr" w:eastAsia="nl-BE"/>
              </w:rPr>
              <w:t>14 100,8</w:t>
            </w:r>
          </w:p>
        </w:tc>
        <w:tc>
          <w:tcPr>
            <w:tcW w:w="806" w:type="dxa"/>
            <w:tcBorders>
              <w:top w:val="nil"/>
              <w:left w:val="nil"/>
              <w:bottom w:val="single" w:sz="4" w:space="0" w:color="FFFFFF" w:themeColor="background1"/>
              <w:right w:val="nil"/>
            </w:tcBorders>
            <w:shd w:val="clear" w:color="auto" w:fill="BFBFBF" w:themeFill="background1" w:themeFillShade="BF"/>
            <w:noWrap/>
            <w:vAlign w:val="bottom"/>
          </w:tcPr>
          <w:p w14:paraId="304FDF4E" w14:textId="77777777" w:rsidR="00E10228" w:rsidRPr="00FF4AA5" w:rsidRDefault="00E10228" w:rsidP="00CF7FFA">
            <w:pPr>
              <w:spacing w:after="0" w:line="240" w:lineRule="auto"/>
              <w:jc w:val="right"/>
              <w:rPr>
                <w:rFonts w:eastAsia="Times New Roman"/>
                <w:b/>
                <w:bCs/>
                <w:color w:val="000000"/>
                <w:sz w:val="14"/>
                <w:szCs w:val="14"/>
                <w:lang w:eastAsia="nl-BE"/>
              </w:rPr>
            </w:pPr>
            <w:r w:rsidRPr="37382CDB">
              <w:rPr>
                <w:rFonts w:eastAsia="Times New Roman"/>
                <w:b/>
                <w:bCs/>
                <w:color w:val="000000" w:themeColor="text1"/>
                <w:sz w:val="14"/>
                <w:szCs w:val="14"/>
                <w:lang w:val="fr" w:eastAsia="nl-BE"/>
              </w:rPr>
              <w:t>+1,3</w:t>
            </w:r>
          </w:p>
        </w:tc>
        <w:tc>
          <w:tcPr>
            <w:tcW w:w="784" w:type="dxa"/>
            <w:tcBorders>
              <w:top w:val="nil"/>
              <w:left w:val="single" w:sz="4" w:space="0" w:color="auto"/>
              <w:bottom w:val="single" w:sz="4" w:space="0" w:color="FFFFFF" w:themeColor="background1"/>
              <w:right w:val="single" w:sz="4" w:space="0" w:color="auto"/>
            </w:tcBorders>
            <w:shd w:val="clear" w:color="auto" w:fill="BFBFBF" w:themeFill="background1" w:themeFillShade="BF"/>
            <w:noWrap/>
            <w:vAlign w:val="bottom"/>
          </w:tcPr>
          <w:p w14:paraId="03368443" w14:textId="77777777" w:rsidR="00E10228" w:rsidRPr="00FF4AA5" w:rsidRDefault="00E10228" w:rsidP="00CF7FFA">
            <w:pPr>
              <w:spacing w:after="0" w:line="240" w:lineRule="auto"/>
              <w:jc w:val="right"/>
              <w:rPr>
                <w:rFonts w:eastAsia="Times New Roman"/>
                <w:b/>
                <w:bCs/>
                <w:color w:val="000000"/>
                <w:sz w:val="14"/>
                <w:szCs w:val="14"/>
                <w:lang w:eastAsia="nl-BE"/>
              </w:rPr>
            </w:pPr>
            <w:r w:rsidRPr="37382CDB">
              <w:rPr>
                <w:rFonts w:eastAsia="Times New Roman"/>
                <w:b/>
                <w:bCs/>
                <w:color w:val="000000" w:themeColor="text1"/>
                <w:sz w:val="14"/>
                <w:szCs w:val="14"/>
                <w:lang w:val="fr" w:eastAsia="nl-BE"/>
              </w:rPr>
              <w:t>19,7</w:t>
            </w:r>
          </w:p>
        </w:tc>
      </w:tr>
      <w:tr w:rsidR="00E10228" w14:paraId="19B7D05B" w14:textId="77777777" w:rsidTr="00CF7FFA">
        <w:tc>
          <w:tcPr>
            <w:tcW w:w="1838"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4BB6539" w14:textId="77777777" w:rsidR="00E10228" w:rsidRPr="0036109B" w:rsidRDefault="00E10228" w:rsidP="00CF7FFA">
            <w:pPr>
              <w:spacing w:after="0" w:line="240" w:lineRule="auto"/>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Amérique du Nord</w:t>
            </w:r>
          </w:p>
        </w:tc>
        <w:tc>
          <w:tcPr>
            <w:tcW w:w="805" w:type="dxa"/>
            <w:tcBorders>
              <w:top w:val="single" w:sz="4" w:space="0" w:color="auto"/>
              <w:left w:val="single" w:sz="4" w:space="0" w:color="auto"/>
              <w:bottom w:val="single" w:sz="4" w:space="0" w:color="auto"/>
              <w:right w:val="single" w:sz="4" w:space="0" w:color="FFFFFF" w:themeColor="background1"/>
            </w:tcBorders>
            <w:shd w:val="clear" w:color="auto" w:fill="D9D9D9" w:themeFill="background1" w:themeFillShade="D9"/>
            <w:vAlign w:val="bottom"/>
            <w:hideMark/>
          </w:tcPr>
          <w:p w14:paraId="7426F45A"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0,3</w:t>
            </w:r>
          </w:p>
        </w:tc>
        <w:tc>
          <w:tcPr>
            <w:tcW w:w="896" w:type="dxa"/>
            <w:tcBorders>
              <w:top w:val="single" w:sz="4" w:space="0" w:color="auto"/>
              <w:left w:val="nil"/>
              <w:bottom w:val="single" w:sz="4" w:space="0" w:color="auto"/>
              <w:right w:val="single" w:sz="4" w:space="0" w:color="FFFFFF" w:themeColor="background1"/>
            </w:tcBorders>
            <w:shd w:val="clear" w:color="auto" w:fill="D9D9D9" w:themeFill="background1" w:themeFillShade="D9"/>
            <w:vAlign w:val="bottom"/>
            <w:hideMark/>
          </w:tcPr>
          <w:p w14:paraId="157906D3"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4 180,4</w:t>
            </w:r>
          </w:p>
        </w:tc>
        <w:tc>
          <w:tcPr>
            <w:tcW w:w="992" w:type="dxa"/>
            <w:tcBorders>
              <w:top w:val="single" w:sz="4" w:space="0" w:color="auto"/>
              <w:left w:val="nil"/>
              <w:bottom w:val="single" w:sz="4" w:space="0" w:color="auto"/>
              <w:right w:val="single" w:sz="4" w:space="0" w:color="FFFFFF" w:themeColor="background1"/>
            </w:tcBorders>
            <w:shd w:val="clear" w:color="auto" w:fill="D9D9D9" w:themeFill="background1" w:themeFillShade="D9"/>
            <w:vAlign w:val="bottom"/>
            <w:hideMark/>
          </w:tcPr>
          <w:p w14:paraId="5F07964E"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3 522,3</w:t>
            </w: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11E1D61"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-15,7</w:t>
            </w:r>
          </w:p>
        </w:tc>
        <w:tc>
          <w:tcPr>
            <w:tcW w:w="638"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3B59F36C"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3,6</w:t>
            </w:r>
          </w:p>
        </w:tc>
        <w:tc>
          <w:tcPr>
            <w:tcW w:w="805"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04DC4044"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20 759,4</w:t>
            </w:r>
          </w:p>
        </w:tc>
        <w:tc>
          <w:tcPr>
            <w:tcW w:w="806"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109A35DD"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28 815,7</w:t>
            </w:r>
          </w:p>
        </w:tc>
        <w:tc>
          <w:tcPr>
            <w:tcW w:w="806" w:type="dxa"/>
            <w:tcBorders>
              <w:top w:val="single" w:sz="4" w:space="0" w:color="auto"/>
              <w:left w:val="nil"/>
              <w:bottom w:val="single" w:sz="4" w:space="0" w:color="auto"/>
              <w:right w:val="nil"/>
            </w:tcBorders>
            <w:shd w:val="clear" w:color="auto" w:fill="D9D9D9" w:themeFill="background1" w:themeFillShade="D9"/>
            <w:noWrap/>
            <w:vAlign w:val="bottom"/>
            <w:hideMark/>
          </w:tcPr>
          <w:p w14:paraId="07112BDE"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38,8</w:t>
            </w:r>
          </w:p>
        </w:tc>
        <w:tc>
          <w:tcPr>
            <w:tcW w:w="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8CC8930"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818,1</w:t>
            </w:r>
          </w:p>
        </w:tc>
      </w:tr>
      <w:tr w:rsidR="00E10228" w14:paraId="53896DCE" w14:textId="77777777" w:rsidTr="00CF7FFA">
        <w:tc>
          <w:tcPr>
            <w:tcW w:w="1838"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3BC0E556" w14:textId="77777777" w:rsidR="00E10228" w:rsidRPr="0036109B" w:rsidRDefault="00E10228" w:rsidP="00CF7FFA">
            <w:pPr>
              <w:spacing w:after="0" w:line="240" w:lineRule="auto"/>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Amérique latine</w:t>
            </w:r>
          </w:p>
        </w:tc>
        <w:tc>
          <w:tcPr>
            <w:tcW w:w="805" w:type="dxa"/>
            <w:tcBorders>
              <w:top w:val="single" w:sz="4" w:space="0" w:color="auto"/>
              <w:left w:val="single" w:sz="4" w:space="0" w:color="auto"/>
              <w:bottom w:val="single" w:sz="4" w:space="0" w:color="auto"/>
              <w:right w:val="single" w:sz="4" w:space="0" w:color="FFFFFF" w:themeColor="background1"/>
            </w:tcBorders>
            <w:shd w:val="clear" w:color="auto" w:fill="D9D9D9" w:themeFill="background1" w:themeFillShade="D9"/>
            <w:vAlign w:val="bottom"/>
            <w:hideMark/>
          </w:tcPr>
          <w:p w14:paraId="722AE982"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0,1</w:t>
            </w:r>
          </w:p>
        </w:tc>
        <w:tc>
          <w:tcPr>
            <w:tcW w:w="896" w:type="dxa"/>
            <w:tcBorders>
              <w:top w:val="single" w:sz="4" w:space="0" w:color="auto"/>
              <w:left w:val="nil"/>
              <w:bottom w:val="single" w:sz="4" w:space="0" w:color="auto"/>
              <w:right w:val="single" w:sz="4" w:space="0" w:color="FFFFFF" w:themeColor="background1"/>
            </w:tcBorders>
            <w:shd w:val="clear" w:color="auto" w:fill="D9D9D9" w:themeFill="background1" w:themeFillShade="D9"/>
            <w:vAlign w:val="bottom"/>
            <w:hideMark/>
          </w:tcPr>
          <w:p w14:paraId="734D1530"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1 079,0</w:t>
            </w:r>
          </w:p>
        </w:tc>
        <w:tc>
          <w:tcPr>
            <w:tcW w:w="992" w:type="dxa"/>
            <w:tcBorders>
              <w:top w:val="single" w:sz="4" w:space="0" w:color="auto"/>
              <w:left w:val="nil"/>
              <w:bottom w:val="single" w:sz="4" w:space="0" w:color="auto"/>
              <w:right w:val="single" w:sz="4" w:space="0" w:color="FFFFFF" w:themeColor="background1"/>
            </w:tcBorders>
            <w:shd w:val="clear" w:color="auto" w:fill="D9D9D9" w:themeFill="background1" w:themeFillShade="D9"/>
            <w:vAlign w:val="bottom"/>
            <w:hideMark/>
          </w:tcPr>
          <w:p w14:paraId="6F32C11B"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1 351,6</w:t>
            </w: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9270D97"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25,3</w:t>
            </w:r>
          </w:p>
        </w:tc>
        <w:tc>
          <w:tcPr>
            <w:tcW w:w="638"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3A41192C"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0,3</w:t>
            </w:r>
          </w:p>
        </w:tc>
        <w:tc>
          <w:tcPr>
            <w:tcW w:w="805"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6E6F731D"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2 400,7</w:t>
            </w:r>
          </w:p>
        </w:tc>
        <w:tc>
          <w:tcPr>
            <w:tcW w:w="806"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44A02056"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2 019,0</w:t>
            </w:r>
          </w:p>
        </w:tc>
        <w:tc>
          <w:tcPr>
            <w:tcW w:w="806" w:type="dxa"/>
            <w:tcBorders>
              <w:top w:val="single" w:sz="4" w:space="0" w:color="auto"/>
              <w:left w:val="nil"/>
              <w:bottom w:val="single" w:sz="4" w:space="0" w:color="auto"/>
              <w:right w:val="nil"/>
            </w:tcBorders>
            <w:shd w:val="clear" w:color="auto" w:fill="D9D9D9" w:themeFill="background1" w:themeFillShade="D9"/>
            <w:noWrap/>
            <w:vAlign w:val="bottom"/>
            <w:hideMark/>
          </w:tcPr>
          <w:p w14:paraId="4E05665F"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-15,9</w:t>
            </w:r>
          </w:p>
        </w:tc>
        <w:tc>
          <w:tcPr>
            <w:tcW w:w="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0353044"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149,4</w:t>
            </w:r>
          </w:p>
        </w:tc>
      </w:tr>
      <w:tr w:rsidR="00E10228" w14:paraId="1A4CAA82" w14:textId="77777777" w:rsidTr="00CF7FFA">
        <w:tc>
          <w:tcPr>
            <w:tcW w:w="1838"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A464E27" w14:textId="77777777" w:rsidR="00E10228" w:rsidRPr="0036109B" w:rsidRDefault="00E10228" w:rsidP="00CF7FFA">
            <w:pPr>
              <w:spacing w:after="0" w:line="240" w:lineRule="auto"/>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Afrique</w:t>
            </w:r>
          </w:p>
        </w:tc>
        <w:tc>
          <w:tcPr>
            <w:tcW w:w="805" w:type="dxa"/>
            <w:tcBorders>
              <w:top w:val="single" w:sz="4" w:space="0" w:color="auto"/>
              <w:left w:val="single" w:sz="4" w:space="0" w:color="auto"/>
              <w:bottom w:val="single" w:sz="4" w:space="0" w:color="auto"/>
              <w:right w:val="single" w:sz="4" w:space="0" w:color="FFFFFF" w:themeColor="background1"/>
            </w:tcBorders>
            <w:shd w:val="clear" w:color="auto" w:fill="D9D9D9" w:themeFill="background1" w:themeFillShade="D9"/>
            <w:vAlign w:val="bottom"/>
            <w:hideMark/>
          </w:tcPr>
          <w:p w14:paraId="56311199"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0,1</w:t>
            </w:r>
          </w:p>
        </w:tc>
        <w:tc>
          <w:tcPr>
            <w:tcW w:w="896" w:type="dxa"/>
            <w:tcBorders>
              <w:top w:val="single" w:sz="4" w:space="0" w:color="auto"/>
              <w:left w:val="nil"/>
              <w:bottom w:val="single" w:sz="4" w:space="0" w:color="auto"/>
              <w:right w:val="single" w:sz="4" w:space="0" w:color="FFFFFF" w:themeColor="background1"/>
            </w:tcBorders>
            <w:shd w:val="clear" w:color="auto" w:fill="D9D9D9" w:themeFill="background1" w:themeFillShade="D9"/>
            <w:vAlign w:val="bottom"/>
            <w:hideMark/>
          </w:tcPr>
          <w:p w14:paraId="337CF5D9"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784,4</w:t>
            </w:r>
          </w:p>
        </w:tc>
        <w:tc>
          <w:tcPr>
            <w:tcW w:w="992" w:type="dxa"/>
            <w:tcBorders>
              <w:top w:val="single" w:sz="4" w:space="0" w:color="auto"/>
              <w:left w:val="nil"/>
              <w:bottom w:val="single" w:sz="4" w:space="0" w:color="auto"/>
              <w:right w:val="single" w:sz="4" w:space="0" w:color="FFFFFF" w:themeColor="background1"/>
            </w:tcBorders>
            <w:shd w:val="clear" w:color="auto" w:fill="D9D9D9" w:themeFill="background1" w:themeFillShade="D9"/>
            <w:vAlign w:val="bottom"/>
            <w:hideMark/>
          </w:tcPr>
          <w:p w14:paraId="5BF04273"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656,8</w:t>
            </w: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B320D98"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-16,3</w:t>
            </w:r>
          </w:p>
        </w:tc>
        <w:tc>
          <w:tcPr>
            <w:tcW w:w="638"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3A405590"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1,5</w:t>
            </w:r>
          </w:p>
        </w:tc>
        <w:tc>
          <w:tcPr>
            <w:tcW w:w="805"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511F4AE1"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11 642,4</w:t>
            </w:r>
          </w:p>
        </w:tc>
        <w:tc>
          <w:tcPr>
            <w:tcW w:w="806"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38888436"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12 247,4</w:t>
            </w:r>
          </w:p>
        </w:tc>
        <w:tc>
          <w:tcPr>
            <w:tcW w:w="806" w:type="dxa"/>
            <w:tcBorders>
              <w:top w:val="single" w:sz="4" w:space="0" w:color="auto"/>
              <w:left w:val="nil"/>
              <w:bottom w:val="single" w:sz="4" w:space="0" w:color="auto"/>
              <w:right w:val="nil"/>
            </w:tcBorders>
            <w:shd w:val="clear" w:color="auto" w:fill="D9D9D9" w:themeFill="background1" w:themeFillShade="D9"/>
            <w:noWrap/>
            <w:vAlign w:val="bottom"/>
            <w:hideMark/>
          </w:tcPr>
          <w:p w14:paraId="6844E9BA"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5,2</w:t>
            </w:r>
          </w:p>
        </w:tc>
        <w:tc>
          <w:tcPr>
            <w:tcW w:w="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6C763CE"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1 864,8</w:t>
            </w:r>
          </w:p>
        </w:tc>
      </w:tr>
      <w:tr w:rsidR="00E10228" w14:paraId="74007E78" w14:textId="77777777" w:rsidTr="00CF7FFA">
        <w:tc>
          <w:tcPr>
            <w:tcW w:w="1838"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0A35FA72" w14:textId="77777777" w:rsidR="00E10228" w:rsidRPr="0036109B" w:rsidRDefault="00E10228" w:rsidP="00CF7FFA">
            <w:pPr>
              <w:spacing w:after="0" w:line="240" w:lineRule="auto"/>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Moyen-Orient</w:t>
            </w:r>
          </w:p>
        </w:tc>
        <w:tc>
          <w:tcPr>
            <w:tcW w:w="805" w:type="dxa"/>
            <w:tcBorders>
              <w:top w:val="single" w:sz="4" w:space="0" w:color="auto"/>
              <w:left w:val="single" w:sz="4" w:space="0" w:color="auto"/>
              <w:bottom w:val="single" w:sz="4" w:space="0" w:color="auto"/>
              <w:right w:val="single" w:sz="4" w:space="0" w:color="FFFFFF" w:themeColor="background1"/>
            </w:tcBorders>
            <w:shd w:val="clear" w:color="auto" w:fill="D9D9D9" w:themeFill="background1" w:themeFillShade="D9"/>
            <w:vAlign w:val="bottom"/>
            <w:hideMark/>
          </w:tcPr>
          <w:p w14:paraId="53D5AA40"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0,4</w:t>
            </w:r>
          </w:p>
        </w:tc>
        <w:tc>
          <w:tcPr>
            <w:tcW w:w="896" w:type="dxa"/>
            <w:tcBorders>
              <w:top w:val="single" w:sz="4" w:space="0" w:color="auto"/>
              <w:left w:val="nil"/>
              <w:bottom w:val="single" w:sz="4" w:space="0" w:color="auto"/>
              <w:right w:val="single" w:sz="4" w:space="0" w:color="FFFFFF" w:themeColor="background1"/>
            </w:tcBorders>
            <w:shd w:val="clear" w:color="auto" w:fill="D9D9D9" w:themeFill="background1" w:themeFillShade="D9"/>
            <w:vAlign w:val="bottom"/>
            <w:hideMark/>
          </w:tcPr>
          <w:p w14:paraId="46F133FD"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3 946,8</w:t>
            </w:r>
          </w:p>
        </w:tc>
        <w:tc>
          <w:tcPr>
            <w:tcW w:w="992" w:type="dxa"/>
            <w:tcBorders>
              <w:top w:val="single" w:sz="4" w:space="0" w:color="auto"/>
              <w:left w:val="nil"/>
              <w:bottom w:val="single" w:sz="4" w:space="0" w:color="auto"/>
              <w:right w:val="single" w:sz="4" w:space="0" w:color="FFFFFF" w:themeColor="background1"/>
            </w:tcBorders>
            <w:shd w:val="clear" w:color="auto" w:fill="D9D9D9" w:themeFill="background1" w:themeFillShade="D9"/>
            <w:vAlign w:val="bottom"/>
            <w:hideMark/>
          </w:tcPr>
          <w:p w14:paraId="2E64497A"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5 487,1</w:t>
            </w: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8639B9F"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39,0</w:t>
            </w:r>
          </w:p>
        </w:tc>
        <w:tc>
          <w:tcPr>
            <w:tcW w:w="638"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0055F57D"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1,2</w:t>
            </w:r>
          </w:p>
        </w:tc>
        <w:tc>
          <w:tcPr>
            <w:tcW w:w="805"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7CB75DE6"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7 533,9</w:t>
            </w:r>
          </w:p>
        </w:tc>
        <w:tc>
          <w:tcPr>
            <w:tcW w:w="806"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219A482E"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9 431,5</w:t>
            </w:r>
          </w:p>
        </w:tc>
        <w:tc>
          <w:tcPr>
            <w:tcW w:w="806" w:type="dxa"/>
            <w:tcBorders>
              <w:top w:val="single" w:sz="4" w:space="0" w:color="auto"/>
              <w:left w:val="nil"/>
              <w:bottom w:val="single" w:sz="4" w:space="0" w:color="auto"/>
              <w:right w:val="nil"/>
            </w:tcBorders>
            <w:shd w:val="clear" w:color="auto" w:fill="D9D9D9" w:themeFill="background1" w:themeFillShade="D9"/>
            <w:noWrap/>
            <w:vAlign w:val="bottom"/>
            <w:hideMark/>
          </w:tcPr>
          <w:p w14:paraId="36CFC5BB"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25,2</w:t>
            </w:r>
          </w:p>
        </w:tc>
        <w:tc>
          <w:tcPr>
            <w:tcW w:w="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BE1798A"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171,9</w:t>
            </w:r>
          </w:p>
        </w:tc>
      </w:tr>
      <w:tr w:rsidR="00E10228" w14:paraId="07A28A61" w14:textId="77777777" w:rsidTr="00CF7FFA">
        <w:tc>
          <w:tcPr>
            <w:tcW w:w="1838"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200AB8B" w14:textId="77777777" w:rsidR="00E10228" w:rsidRPr="0036109B" w:rsidRDefault="00E10228" w:rsidP="00CF7FFA">
            <w:pPr>
              <w:spacing w:after="0" w:line="240" w:lineRule="auto"/>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Extrême-Orient</w:t>
            </w:r>
          </w:p>
        </w:tc>
        <w:tc>
          <w:tcPr>
            <w:tcW w:w="805" w:type="dxa"/>
            <w:tcBorders>
              <w:top w:val="single" w:sz="4" w:space="0" w:color="auto"/>
              <w:left w:val="single" w:sz="4" w:space="0" w:color="auto"/>
              <w:bottom w:val="single" w:sz="4" w:space="0" w:color="auto"/>
              <w:right w:val="single" w:sz="4" w:space="0" w:color="FFFFFF" w:themeColor="background1"/>
            </w:tcBorders>
            <w:shd w:val="clear" w:color="auto" w:fill="D9D9D9" w:themeFill="background1" w:themeFillShade="D9"/>
            <w:vAlign w:val="bottom"/>
            <w:hideMark/>
          </w:tcPr>
          <w:p w14:paraId="7EC1C756"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34,3</w:t>
            </w:r>
          </w:p>
        </w:tc>
        <w:tc>
          <w:tcPr>
            <w:tcW w:w="896" w:type="dxa"/>
            <w:tcBorders>
              <w:top w:val="single" w:sz="4" w:space="0" w:color="auto"/>
              <w:left w:val="nil"/>
              <w:bottom w:val="single" w:sz="4" w:space="0" w:color="auto"/>
              <w:right w:val="single" w:sz="4" w:space="0" w:color="FFFFFF" w:themeColor="background1"/>
            </w:tcBorders>
            <w:shd w:val="clear" w:color="auto" w:fill="D9D9D9" w:themeFill="background1" w:themeFillShade="D9"/>
            <w:vAlign w:val="bottom"/>
            <w:hideMark/>
          </w:tcPr>
          <w:p w14:paraId="6B093842"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369 580,4</w:t>
            </w:r>
          </w:p>
        </w:tc>
        <w:tc>
          <w:tcPr>
            <w:tcW w:w="992" w:type="dxa"/>
            <w:tcBorders>
              <w:top w:val="single" w:sz="4" w:space="0" w:color="auto"/>
              <w:left w:val="nil"/>
              <w:bottom w:val="single" w:sz="4" w:space="0" w:color="auto"/>
              <w:right w:val="single" w:sz="4" w:space="0" w:color="FFFFFF" w:themeColor="background1"/>
            </w:tcBorders>
            <w:shd w:val="clear" w:color="auto" w:fill="D9D9D9" w:themeFill="background1" w:themeFillShade="D9"/>
            <w:vAlign w:val="bottom"/>
            <w:hideMark/>
          </w:tcPr>
          <w:p w14:paraId="5BC02C4B"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423 448,2</w:t>
            </w: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6701DDF"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14,6</w:t>
            </w:r>
          </w:p>
        </w:tc>
        <w:tc>
          <w:tcPr>
            <w:tcW w:w="638"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4636F20B"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1,1</w:t>
            </w:r>
          </w:p>
        </w:tc>
        <w:tc>
          <w:tcPr>
            <w:tcW w:w="805"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44F0578D"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7 528,1</w:t>
            </w:r>
          </w:p>
        </w:tc>
        <w:tc>
          <w:tcPr>
            <w:tcW w:w="806"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535BA7F8"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9 022,0</w:t>
            </w:r>
          </w:p>
        </w:tc>
        <w:tc>
          <w:tcPr>
            <w:tcW w:w="806" w:type="dxa"/>
            <w:tcBorders>
              <w:top w:val="single" w:sz="4" w:space="0" w:color="auto"/>
              <w:left w:val="nil"/>
              <w:bottom w:val="single" w:sz="4" w:space="0" w:color="auto"/>
              <w:right w:val="nil"/>
            </w:tcBorders>
            <w:shd w:val="clear" w:color="auto" w:fill="D9D9D9" w:themeFill="background1" w:themeFillShade="D9"/>
            <w:noWrap/>
            <w:vAlign w:val="bottom"/>
            <w:hideMark/>
          </w:tcPr>
          <w:p w14:paraId="7E47B692"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19,8</w:t>
            </w:r>
          </w:p>
        </w:tc>
        <w:tc>
          <w:tcPr>
            <w:tcW w:w="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0340B4F"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2,1</w:t>
            </w:r>
          </w:p>
        </w:tc>
      </w:tr>
      <w:tr w:rsidR="00E10228" w14:paraId="4CC62075"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01A352F4" w14:textId="77777777" w:rsidR="00E10228" w:rsidRPr="0036109B" w:rsidRDefault="00E10228" w:rsidP="00CF7FFA">
            <w:pPr>
              <w:spacing w:after="0" w:line="240" w:lineRule="auto"/>
              <w:ind w:left="204"/>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Inde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1B21874"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0,9</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586114B9"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8 907,6</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1F64E8E2"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10 894,5</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7D46DA40"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22,3</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22FB347"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0,1</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AFD5F2C"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496,9</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538CD31"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1 077,6</w:t>
            </w:r>
          </w:p>
        </w:tc>
        <w:tc>
          <w:tcPr>
            <w:tcW w:w="806" w:type="dxa"/>
            <w:tcBorders>
              <w:top w:val="nil"/>
              <w:left w:val="nil"/>
              <w:bottom w:val="single" w:sz="4" w:space="0" w:color="FFFFFF" w:themeColor="background1"/>
              <w:right w:val="nil"/>
            </w:tcBorders>
            <w:shd w:val="clear" w:color="auto" w:fill="auto"/>
            <w:noWrap/>
            <w:vAlign w:val="bottom"/>
            <w:hideMark/>
          </w:tcPr>
          <w:p w14:paraId="6F2478BC"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116,8</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538BD61"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9,9</w:t>
            </w:r>
          </w:p>
        </w:tc>
      </w:tr>
      <w:tr w:rsidR="00E10228" w14:paraId="370C37AD"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67D809C2" w14:textId="77777777" w:rsidR="00E10228" w:rsidRPr="0036109B" w:rsidRDefault="00E10228" w:rsidP="00CF7FFA">
            <w:pPr>
              <w:spacing w:after="0" w:line="240" w:lineRule="auto"/>
              <w:ind w:left="204"/>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Thaïlande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5FB4ED6"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0,1</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750C4F24"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2 187,8</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74450B64"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1 823,5</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17D2EA26"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-16,6</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16D8029"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0DA5BE5"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532,5</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404201B"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302,6</w:t>
            </w:r>
          </w:p>
        </w:tc>
        <w:tc>
          <w:tcPr>
            <w:tcW w:w="806" w:type="dxa"/>
            <w:tcBorders>
              <w:top w:val="nil"/>
              <w:left w:val="nil"/>
              <w:bottom w:val="single" w:sz="4" w:space="0" w:color="FFFFFF" w:themeColor="background1"/>
              <w:right w:val="nil"/>
            </w:tcBorders>
            <w:shd w:val="clear" w:color="auto" w:fill="auto"/>
            <w:noWrap/>
            <w:vAlign w:val="bottom"/>
            <w:hideMark/>
          </w:tcPr>
          <w:p w14:paraId="6D508353"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-43,2</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4CAE6FC"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16,6</w:t>
            </w:r>
          </w:p>
        </w:tc>
      </w:tr>
      <w:tr w:rsidR="00E10228" w14:paraId="2E9B30DA"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6AC0B16D" w14:textId="77777777" w:rsidR="00E10228" w:rsidRPr="0036109B" w:rsidRDefault="00E10228" w:rsidP="00CF7FFA">
            <w:pPr>
              <w:spacing w:after="0" w:line="240" w:lineRule="auto"/>
              <w:ind w:left="204"/>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Vietnam</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D638AAB"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2,2</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6ECBCDC9"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17 264,7</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1BA2880A"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27 054,0</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4549B063"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56,7</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700AE1E"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0247ACF"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188,4</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2881CBD"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86,0</w:t>
            </w:r>
          </w:p>
        </w:tc>
        <w:tc>
          <w:tcPr>
            <w:tcW w:w="806" w:type="dxa"/>
            <w:tcBorders>
              <w:top w:val="nil"/>
              <w:left w:val="nil"/>
              <w:bottom w:val="single" w:sz="4" w:space="0" w:color="FFFFFF" w:themeColor="background1"/>
              <w:right w:val="nil"/>
            </w:tcBorders>
            <w:shd w:val="clear" w:color="auto" w:fill="auto"/>
            <w:noWrap/>
            <w:vAlign w:val="bottom"/>
            <w:hideMark/>
          </w:tcPr>
          <w:p w14:paraId="3AC3215A"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-54,4</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AE3575B"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0,3</w:t>
            </w:r>
          </w:p>
        </w:tc>
      </w:tr>
      <w:tr w:rsidR="00E10228" w14:paraId="1B51E01E"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12ADD92A" w14:textId="77777777" w:rsidR="00E10228" w:rsidRPr="0036109B" w:rsidRDefault="00E10228" w:rsidP="00CF7FFA">
            <w:pPr>
              <w:spacing w:after="0" w:line="240" w:lineRule="auto"/>
              <w:ind w:left="204"/>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Cambodge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270DC0D"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0,0</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2EB6B69D"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0,0</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32888159"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5,3</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39D704C8"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 xml:space="preserve">– </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8DF3125"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56D0CAA"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688,9</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38BC6BF"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371,8</w:t>
            </w:r>
          </w:p>
        </w:tc>
        <w:tc>
          <w:tcPr>
            <w:tcW w:w="806" w:type="dxa"/>
            <w:tcBorders>
              <w:top w:val="nil"/>
              <w:left w:val="nil"/>
              <w:bottom w:val="single" w:sz="4" w:space="0" w:color="FFFFFF" w:themeColor="background1"/>
              <w:right w:val="nil"/>
            </w:tcBorders>
            <w:shd w:val="clear" w:color="auto" w:fill="auto"/>
            <w:noWrap/>
            <w:vAlign w:val="bottom"/>
            <w:hideMark/>
          </w:tcPr>
          <w:p w14:paraId="54548A4B"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-46,0</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A4A314B"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6 981,6</w:t>
            </w:r>
          </w:p>
        </w:tc>
      </w:tr>
      <w:tr w:rsidR="00E10228" w14:paraId="0CB646FF"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2F0F9885" w14:textId="77777777" w:rsidR="00E10228" w:rsidRPr="0036109B" w:rsidRDefault="00E10228" w:rsidP="00CF7FFA">
            <w:pPr>
              <w:spacing w:after="0" w:line="240" w:lineRule="auto"/>
              <w:ind w:left="204"/>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Indonésie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45AF3F2"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2,1</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304D4549"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32 436,7</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1F67C81B"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25 696,1</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6B746B54"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-20,8</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C466635"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3CBE049"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237,5</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F68330D"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182,5</w:t>
            </w:r>
          </w:p>
        </w:tc>
        <w:tc>
          <w:tcPr>
            <w:tcW w:w="806" w:type="dxa"/>
            <w:tcBorders>
              <w:top w:val="nil"/>
              <w:left w:val="nil"/>
              <w:bottom w:val="single" w:sz="4" w:space="0" w:color="FFFFFF" w:themeColor="background1"/>
              <w:right w:val="nil"/>
            </w:tcBorders>
            <w:shd w:val="clear" w:color="auto" w:fill="auto"/>
            <w:noWrap/>
            <w:vAlign w:val="bottom"/>
            <w:hideMark/>
          </w:tcPr>
          <w:p w14:paraId="7B7B4E17"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-23,2</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46FB66D"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0,7</w:t>
            </w:r>
          </w:p>
        </w:tc>
      </w:tr>
      <w:tr w:rsidR="00E10228" w14:paraId="39424369"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47CE5E7B" w14:textId="77777777" w:rsidR="00E10228" w:rsidRPr="0036109B" w:rsidRDefault="00E10228" w:rsidP="00CF7FFA">
            <w:pPr>
              <w:spacing w:after="0" w:line="240" w:lineRule="auto"/>
              <w:ind w:left="204"/>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Malaisie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30B7737"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0,4</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79E94D59"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3 989,4</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06493D68"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4 459,3</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42C56BD0"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11,8</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AC5EAC6"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5CC6A1A"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112,7</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E0F1574"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42,5</w:t>
            </w:r>
          </w:p>
        </w:tc>
        <w:tc>
          <w:tcPr>
            <w:tcW w:w="806" w:type="dxa"/>
            <w:tcBorders>
              <w:top w:val="nil"/>
              <w:left w:val="nil"/>
              <w:bottom w:val="single" w:sz="4" w:space="0" w:color="FFFFFF" w:themeColor="background1"/>
              <w:right w:val="nil"/>
            </w:tcBorders>
            <w:shd w:val="clear" w:color="auto" w:fill="auto"/>
            <w:noWrap/>
            <w:vAlign w:val="bottom"/>
            <w:hideMark/>
          </w:tcPr>
          <w:p w14:paraId="73B6CAD8"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-62,3</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690BA27"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1,0</w:t>
            </w:r>
          </w:p>
        </w:tc>
      </w:tr>
      <w:tr w:rsidR="00E10228" w14:paraId="0C660502"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3E20D36F" w14:textId="77777777" w:rsidR="00E10228" w:rsidRPr="0036109B" w:rsidRDefault="00E10228" w:rsidP="00CF7FFA">
            <w:pPr>
              <w:spacing w:after="0" w:line="240" w:lineRule="auto"/>
              <w:ind w:left="204"/>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Singapour</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C5C1D53"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0,0</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44DD9E04"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87,6</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0503E762"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46,9</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01D04B9C"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-46,5</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EF14B35"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0,1</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9DEF82F"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471,2</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9E4224D"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829,3</w:t>
            </w:r>
          </w:p>
        </w:tc>
        <w:tc>
          <w:tcPr>
            <w:tcW w:w="806" w:type="dxa"/>
            <w:tcBorders>
              <w:top w:val="nil"/>
              <w:left w:val="nil"/>
              <w:bottom w:val="single" w:sz="4" w:space="0" w:color="FFFFFF" w:themeColor="background1"/>
              <w:right w:val="nil"/>
            </w:tcBorders>
            <w:shd w:val="clear" w:color="auto" w:fill="auto"/>
            <w:noWrap/>
            <w:vAlign w:val="bottom"/>
            <w:hideMark/>
          </w:tcPr>
          <w:p w14:paraId="4004CE4C"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76,0</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36B09DC"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1 768,7</w:t>
            </w:r>
          </w:p>
        </w:tc>
      </w:tr>
      <w:tr w:rsidR="00E10228" w14:paraId="6583B21F"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40DAC72A" w14:textId="77777777" w:rsidR="00E10228" w:rsidRPr="0036109B" w:rsidRDefault="00E10228" w:rsidP="00CF7FFA">
            <w:pPr>
              <w:spacing w:after="0" w:line="240" w:lineRule="auto"/>
              <w:ind w:left="204"/>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Philippines</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4175AE5"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0,0</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2F06C55B"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218,9</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31CDF672"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329,2</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45744AB5"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50,4</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962CCAF"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E53219F"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180,1</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63DDEF9"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71,7</w:t>
            </w:r>
          </w:p>
        </w:tc>
        <w:tc>
          <w:tcPr>
            <w:tcW w:w="806" w:type="dxa"/>
            <w:tcBorders>
              <w:top w:val="nil"/>
              <w:left w:val="nil"/>
              <w:bottom w:val="single" w:sz="4" w:space="0" w:color="FFFFFF" w:themeColor="background1"/>
              <w:right w:val="nil"/>
            </w:tcBorders>
            <w:shd w:val="clear" w:color="auto" w:fill="auto"/>
            <w:noWrap/>
            <w:vAlign w:val="bottom"/>
            <w:hideMark/>
          </w:tcPr>
          <w:p w14:paraId="1E9FED5F"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-60,2</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862131A"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21,8</w:t>
            </w:r>
          </w:p>
        </w:tc>
      </w:tr>
      <w:tr w:rsidR="00E10228" w14:paraId="3FB693D1"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08553BD6" w14:textId="77777777" w:rsidR="00E10228" w:rsidRPr="0036109B" w:rsidRDefault="00E10228" w:rsidP="00CF7FFA">
            <w:pPr>
              <w:spacing w:after="0" w:line="240" w:lineRule="auto"/>
              <w:ind w:left="204"/>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Chine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8E53BC9"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28,5</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1D336CF5"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302 064,1</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58E7ABCC"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350 894,1</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4AB6A52C"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16,2</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BEB70AF"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0,3</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24ED265"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1 736,7</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4EA7150"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2 337,4</w:t>
            </w:r>
          </w:p>
        </w:tc>
        <w:tc>
          <w:tcPr>
            <w:tcW w:w="806" w:type="dxa"/>
            <w:tcBorders>
              <w:top w:val="nil"/>
              <w:left w:val="nil"/>
              <w:bottom w:val="single" w:sz="4" w:space="0" w:color="FFFFFF" w:themeColor="background1"/>
              <w:right w:val="nil"/>
            </w:tcBorders>
            <w:shd w:val="clear" w:color="auto" w:fill="auto"/>
            <w:noWrap/>
            <w:vAlign w:val="bottom"/>
            <w:hideMark/>
          </w:tcPr>
          <w:p w14:paraId="4109F762"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34,6</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66444F7"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0,7</w:t>
            </w:r>
          </w:p>
        </w:tc>
      </w:tr>
      <w:tr w:rsidR="00E10228" w14:paraId="19225B21"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5A519BD4" w14:textId="77777777" w:rsidR="00E10228" w:rsidRPr="0036109B" w:rsidRDefault="00E10228" w:rsidP="00CF7FFA">
            <w:pPr>
              <w:spacing w:after="0" w:line="240" w:lineRule="auto"/>
              <w:ind w:left="204"/>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Corée du Sud</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7D40B3B"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0,0</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6CBF8988"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102,2</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0B0C21F7"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112,1</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6B7FC86F"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9,7</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0394403"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0,1</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FF2D9F7"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521,5</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2A0BF62"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607,5</w:t>
            </w:r>
          </w:p>
        </w:tc>
        <w:tc>
          <w:tcPr>
            <w:tcW w:w="806" w:type="dxa"/>
            <w:tcBorders>
              <w:top w:val="nil"/>
              <w:left w:val="nil"/>
              <w:bottom w:val="single" w:sz="4" w:space="0" w:color="FFFFFF" w:themeColor="background1"/>
              <w:right w:val="nil"/>
            </w:tcBorders>
            <w:shd w:val="clear" w:color="auto" w:fill="auto"/>
            <w:noWrap/>
            <w:vAlign w:val="bottom"/>
            <w:hideMark/>
          </w:tcPr>
          <w:p w14:paraId="5BDAE698"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16,5</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7CD46CF"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542,0</w:t>
            </w:r>
          </w:p>
        </w:tc>
      </w:tr>
      <w:tr w:rsidR="00E10228" w14:paraId="7C76D32F"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560EB211" w14:textId="77777777" w:rsidR="00E10228" w:rsidRPr="0036109B" w:rsidRDefault="00E10228" w:rsidP="00CF7FFA">
            <w:pPr>
              <w:spacing w:after="0" w:line="240" w:lineRule="auto"/>
              <w:ind w:left="204"/>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Japon</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CD20F0B"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0,1</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7197DCCE"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883,8</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69FEB36F"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944,6</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6B36990A"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6,9</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89A0E2B"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0,2</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91E5313"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1 062,1</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B65D65E"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1 279,9</w:t>
            </w:r>
          </w:p>
        </w:tc>
        <w:tc>
          <w:tcPr>
            <w:tcW w:w="806" w:type="dxa"/>
            <w:tcBorders>
              <w:top w:val="nil"/>
              <w:left w:val="nil"/>
              <w:bottom w:val="single" w:sz="4" w:space="0" w:color="FFFFFF" w:themeColor="background1"/>
              <w:right w:val="nil"/>
            </w:tcBorders>
            <w:shd w:val="clear" w:color="auto" w:fill="auto"/>
            <w:noWrap/>
            <w:vAlign w:val="bottom"/>
            <w:hideMark/>
          </w:tcPr>
          <w:p w14:paraId="6CDDC583"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20,5</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2EF2BFA"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135,5</w:t>
            </w:r>
          </w:p>
        </w:tc>
      </w:tr>
      <w:tr w:rsidR="00E10228" w14:paraId="209E3866"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7590A935" w14:textId="77777777" w:rsidR="00E10228" w:rsidRPr="0036109B" w:rsidRDefault="00E10228" w:rsidP="00CF7FFA">
            <w:pPr>
              <w:spacing w:after="0" w:line="240" w:lineRule="auto"/>
              <w:ind w:left="204"/>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Taïwan</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9B84F43"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0,1</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3EC5A4AB"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608,4</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3F4AFA1B"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807,9</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3A69AA50"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32,8</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2B78400"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54FABAC"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416,4</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C79BDC0"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343,9</w:t>
            </w:r>
          </w:p>
        </w:tc>
        <w:tc>
          <w:tcPr>
            <w:tcW w:w="806" w:type="dxa"/>
            <w:tcBorders>
              <w:top w:val="nil"/>
              <w:left w:val="nil"/>
              <w:bottom w:val="single" w:sz="4" w:space="0" w:color="FFFFFF" w:themeColor="background1"/>
              <w:right w:val="nil"/>
            </w:tcBorders>
            <w:shd w:val="clear" w:color="auto" w:fill="auto"/>
            <w:noWrap/>
            <w:vAlign w:val="bottom"/>
            <w:hideMark/>
          </w:tcPr>
          <w:p w14:paraId="15715E8C"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-17,4</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944D4A3"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42,6</w:t>
            </w:r>
          </w:p>
        </w:tc>
      </w:tr>
      <w:tr w:rsidR="00E10228" w14:paraId="616E8133" w14:textId="77777777" w:rsidTr="00CF7FFA">
        <w:tc>
          <w:tcPr>
            <w:tcW w:w="1838" w:type="dxa"/>
            <w:tcBorders>
              <w:top w:val="nil"/>
              <w:left w:val="single" w:sz="4" w:space="0" w:color="auto"/>
              <w:bottom w:val="single" w:sz="4" w:space="0" w:color="FFFFFF" w:themeColor="background1"/>
              <w:right w:val="nil"/>
            </w:tcBorders>
            <w:shd w:val="clear" w:color="auto" w:fill="auto"/>
            <w:vAlign w:val="bottom"/>
            <w:hideMark/>
          </w:tcPr>
          <w:p w14:paraId="70E669F5" w14:textId="77777777" w:rsidR="00E10228" w:rsidRPr="0036109B" w:rsidRDefault="00E10228" w:rsidP="00CF7FFA">
            <w:pPr>
              <w:spacing w:after="0" w:line="240" w:lineRule="auto"/>
              <w:ind w:left="204"/>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Hong</w:t>
            </w:r>
            <w:r>
              <w:rPr>
                <w:rFonts w:eastAsia="Times New Roman" w:cstheme="minorHAnsi"/>
                <w:i/>
                <w:iCs/>
                <w:color w:val="000000"/>
                <w:sz w:val="14"/>
                <w:szCs w:val="14"/>
                <w:lang w:val="fr" w:eastAsia="nl-BE"/>
              </w:rPr>
              <w:t xml:space="preserve"> </w:t>
            </w:r>
            <w:r w:rsidRPr="0036109B">
              <w:rPr>
                <w:rFonts w:eastAsia="Times New Roman" w:cstheme="minorHAnsi"/>
                <w:i/>
                <w:iCs/>
                <w:color w:val="000000"/>
                <w:sz w:val="14"/>
                <w:szCs w:val="14"/>
                <w:lang w:val="fr" w:eastAsia="nl-BE"/>
              </w:rPr>
              <w:t>Kong</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27BD217"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0,0</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7337A062"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692,5</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3810BC40"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264,5</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7512A569"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-61,8</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76095E4"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0,2</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F6349A1"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822,7</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F0CA4B8"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1 284,0</w:t>
            </w:r>
          </w:p>
        </w:tc>
        <w:tc>
          <w:tcPr>
            <w:tcW w:w="806" w:type="dxa"/>
            <w:tcBorders>
              <w:top w:val="nil"/>
              <w:left w:val="nil"/>
              <w:bottom w:val="single" w:sz="4" w:space="0" w:color="FFFFFF" w:themeColor="background1"/>
              <w:right w:val="nil"/>
            </w:tcBorders>
            <w:shd w:val="clear" w:color="auto" w:fill="auto"/>
            <w:noWrap/>
            <w:vAlign w:val="bottom"/>
            <w:hideMark/>
          </w:tcPr>
          <w:p w14:paraId="4317EACE"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56,1</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797B103" w14:textId="77777777" w:rsidR="00E10228" w:rsidRPr="0036109B" w:rsidRDefault="00E10228" w:rsidP="00CF7FFA">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fr" w:eastAsia="nl-BE"/>
              </w:rPr>
              <w:t>485,4</w:t>
            </w:r>
          </w:p>
        </w:tc>
      </w:tr>
      <w:tr w:rsidR="00E10228" w14:paraId="013B2A14" w14:textId="77777777" w:rsidTr="00CF7FFA">
        <w:tc>
          <w:tcPr>
            <w:tcW w:w="1838"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675F7BCF" w14:textId="77777777" w:rsidR="00E10228" w:rsidRPr="0036109B" w:rsidRDefault="00E10228" w:rsidP="00CF7FFA">
            <w:pPr>
              <w:spacing w:after="0" w:line="240" w:lineRule="auto"/>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Océanie</w:t>
            </w:r>
          </w:p>
        </w:tc>
        <w:tc>
          <w:tcPr>
            <w:tcW w:w="805" w:type="dxa"/>
            <w:tcBorders>
              <w:top w:val="single" w:sz="4" w:space="0" w:color="auto"/>
              <w:left w:val="single" w:sz="4" w:space="0" w:color="auto"/>
              <w:bottom w:val="single" w:sz="4" w:space="0" w:color="auto"/>
              <w:right w:val="single" w:sz="4" w:space="0" w:color="FFFFFF" w:themeColor="background1"/>
            </w:tcBorders>
            <w:shd w:val="clear" w:color="auto" w:fill="D9D9D9" w:themeFill="background1" w:themeFillShade="D9"/>
            <w:vAlign w:val="bottom"/>
            <w:hideMark/>
          </w:tcPr>
          <w:p w14:paraId="551D9ED2"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0,0</w:t>
            </w:r>
          </w:p>
        </w:tc>
        <w:tc>
          <w:tcPr>
            <w:tcW w:w="896" w:type="dxa"/>
            <w:tcBorders>
              <w:top w:val="single" w:sz="4" w:space="0" w:color="auto"/>
              <w:left w:val="nil"/>
              <w:bottom w:val="single" w:sz="4" w:space="0" w:color="auto"/>
              <w:right w:val="single" w:sz="4" w:space="0" w:color="FFFFFF" w:themeColor="background1"/>
            </w:tcBorders>
            <w:shd w:val="clear" w:color="auto" w:fill="D9D9D9" w:themeFill="background1" w:themeFillShade="D9"/>
            <w:vAlign w:val="bottom"/>
            <w:hideMark/>
          </w:tcPr>
          <w:p w14:paraId="6C62CA55"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214,4</w:t>
            </w:r>
          </w:p>
        </w:tc>
        <w:tc>
          <w:tcPr>
            <w:tcW w:w="992" w:type="dxa"/>
            <w:tcBorders>
              <w:top w:val="single" w:sz="4" w:space="0" w:color="auto"/>
              <w:left w:val="nil"/>
              <w:bottom w:val="single" w:sz="4" w:space="0" w:color="auto"/>
              <w:right w:val="single" w:sz="4" w:space="0" w:color="FFFFFF" w:themeColor="background1"/>
            </w:tcBorders>
            <w:shd w:val="clear" w:color="auto" w:fill="D9D9D9" w:themeFill="background1" w:themeFillShade="D9"/>
            <w:vAlign w:val="bottom"/>
            <w:hideMark/>
          </w:tcPr>
          <w:p w14:paraId="24F91C3C"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220,9</w:t>
            </w: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3BCFF4B"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3,0</w:t>
            </w:r>
          </w:p>
        </w:tc>
        <w:tc>
          <w:tcPr>
            <w:tcW w:w="638"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049A9D64"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0,3</w:t>
            </w:r>
          </w:p>
        </w:tc>
        <w:tc>
          <w:tcPr>
            <w:tcW w:w="805"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3A94C132"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1 975,2</w:t>
            </w:r>
          </w:p>
        </w:tc>
        <w:tc>
          <w:tcPr>
            <w:tcW w:w="806"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77C47A05"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2 470,8</w:t>
            </w:r>
          </w:p>
        </w:tc>
        <w:tc>
          <w:tcPr>
            <w:tcW w:w="806" w:type="dxa"/>
            <w:tcBorders>
              <w:top w:val="single" w:sz="4" w:space="0" w:color="auto"/>
              <w:left w:val="nil"/>
              <w:bottom w:val="single" w:sz="4" w:space="0" w:color="auto"/>
              <w:right w:val="nil"/>
            </w:tcBorders>
            <w:shd w:val="clear" w:color="auto" w:fill="D9D9D9" w:themeFill="background1" w:themeFillShade="D9"/>
            <w:noWrap/>
            <w:vAlign w:val="bottom"/>
            <w:hideMark/>
          </w:tcPr>
          <w:p w14:paraId="478A105F"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25,1</w:t>
            </w:r>
          </w:p>
        </w:tc>
        <w:tc>
          <w:tcPr>
            <w:tcW w:w="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6A2DE69" w14:textId="77777777" w:rsidR="00E10228" w:rsidRPr="0036109B" w:rsidRDefault="00E10228" w:rsidP="00CF7FFA">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fr" w:eastAsia="nl-BE"/>
              </w:rPr>
              <w:t>1 118,7</w:t>
            </w:r>
          </w:p>
        </w:tc>
      </w:tr>
      <w:tr w:rsidR="00E10228" w14:paraId="4D80294F" w14:textId="77777777" w:rsidTr="00CF7FFA">
        <w:tc>
          <w:tcPr>
            <w:tcW w:w="1838"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5CA0320" w14:textId="77777777" w:rsidR="00E10228" w:rsidRPr="0036109B" w:rsidRDefault="00E10228" w:rsidP="00CF7FFA">
            <w:pPr>
              <w:spacing w:after="0" w:line="240" w:lineRule="auto"/>
              <w:rPr>
                <w:rFonts w:eastAsia="Times New Roman" w:cstheme="minorHAnsi"/>
                <w:b/>
                <w:bCs/>
                <w:sz w:val="14"/>
                <w:szCs w:val="14"/>
                <w:lang w:eastAsia="nl-BE"/>
              </w:rPr>
            </w:pPr>
            <w:r w:rsidRPr="0036109B">
              <w:rPr>
                <w:rFonts w:eastAsia="Times New Roman" w:cstheme="minorHAnsi"/>
                <w:b/>
                <w:bCs/>
                <w:sz w:val="14"/>
                <w:szCs w:val="14"/>
                <w:lang w:val="fr" w:eastAsia="nl-BE"/>
              </w:rPr>
              <w:t>Total</w:t>
            </w:r>
          </w:p>
        </w:tc>
        <w:tc>
          <w:tcPr>
            <w:tcW w:w="805"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1E6D5DE" w14:textId="77777777" w:rsidR="00E10228" w:rsidRPr="0036109B" w:rsidRDefault="00E10228" w:rsidP="00CF7FFA">
            <w:pPr>
              <w:spacing w:after="0" w:line="240" w:lineRule="auto"/>
              <w:jc w:val="right"/>
              <w:rPr>
                <w:rFonts w:eastAsia="Times New Roman" w:cstheme="minorHAnsi"/>
                <w:b/>
                <w:bCs/>
                <w:sz w:val="14"/>
                <w:szCs w:val="14"/>
                <w:lang w:eastAsia="nl-BE"/>
              </w:rPr>
            </w:pPr>
            <w:r w:rsidRPr="0036109B">
              <w:rPr>
                <w:rFonts w:eastAsia="Times New Roman" w:cstheme="minorHAnsi"/>
                <w:b/>
                <w:bCs/>
                <w:sz w:val="14"/>
                <w:szCs w:val="14"/>
                <w:lang w:val="fr" w:eastAsia="nl-BE"/>
              </w:rPr>
              <w:t>100,0</w:t>
            </w:r>
          </w:p>
        </w:tc>
        <w:tc>
          <w:tcPr>
            <w:tcW w:w="896" w:type="dxa"/>
            <w:tcBorders>
              <w:top w:val="single" w:sz="4" w:space="0" w:color="auto"/>
              <w:left w:val="nil"/>
              <w:bottom w:val="single" w:sz="4" w:space="0" w:color="auto"/>
              <w:right w:val="nil"/>
            </w:tcBorders>
            <w:shd w:val="clear" w:color="auto" w:fill="D9D9D9" w:themeFill="background1" w:themeFillShade="D9"/>
            <w:vAlign w:val="bottom"/>
            <w:hideMark/>
          </w:tcPr>
          <w:p w14:paraId="4FA77286" w14:textId="77777777" w:rsidR="00E10228" w:rsidRPr="0036109B" w:rsidRDefault="00E10228" w:rsidP="00CF7FFA">
            <w:pPr>
              <w:spacing w:after="0" w:line="240" w:lineRule="auto"/>
              <w:jc w:val="right"/>
              <w:rPr>
                <w:rFonts w:eastAsia="Times New Roman" w:cstheme="minorHAnsi"/>
                <w:b/>
                <w:bCs/>
                <w:sz w:val="14"/>
                <w:szCs w:val="14"/>
                <w:lang w:eastAsia="nl-BE"/>
              </w:rPr>
            </w:pPr>
            <w:r w:rsidRPr="0036109B">
              <w:rPr>
                <w:rFonts w:eastAsia="Times New Roman" w:cstheme="minorHAnsi"/>
                <w:b/>
                <w:bCs/>
                <w:sz w:val="14"/>
                <w:szCs w:val="14"/>
                <w:lang w:val="fr" w:eastAsia="nl-BE"/>
              </w:rPr>
              <w:t>1 219 655,9</w:t>
            </w:r>
          </w:p>
        </w:tc>
        <w:tc>
          <w:tcPr>
            <w:tcW w:w="992" w:type="dxa"/>
            <w:tcBorders>
              <w:top w:val="single" w:sz="4" w:space="0" w:color="auto"/>
              <w:left w:val="nil"/>
              <w:bottom w:val="single" w:sz="4" w:space="0" w:color="auto"/>
              <w:right w:val="nil"/>
            </w:tcBorders>
            <w:shd w:val="clear" w:color="auto" w:fill="D9D9D9" w:themeFill="background1" w:themeFillShade="D9"/>
            <w:vAlign w:val="bottom"/>
            <w:hideMark/>
          </w:tcPr>
          <w:p w14:paraId="65E16674" w14:textId="77777777" w:rsidR="00E10228" w:rsidRPr="0036109B" w:rsidRDefault="00E10228" w:rsidP="00CF7FFA">
            <w:pPr>
              <w:spacing w:after="0" w:line="240" w:lineRule="auto"/>
              <w:jc w:val="right"/>
              <w:rPr>
                <w:rFonts w:eastAsia="Times New Roman" w:cstheme="minorHAnsi"/>
                <w:b/>
                <w:bCs/>
                <w:sz w:val="14"/>
                <w:szCs w:val="14"/>
                <w:lang w:eastAsia="nl-BE"/>
              </w:rPr>
            </w:pPr>
            <w:r w:rsidRPr="0036109B">
              <w:rPr>
                <w:rFonts w:eastAsia="Times New Roman" w:cstheme="minorHAnsi"/>
                <w:b/>
                <w:bCs/>
                <w:sz w:val="14"/>
                <w:szCs w:val="14"/>
                <w:lang w:val="fr" w:eastAsia="nl-BE"/>
              </w:rPr>
              <w:t>1 232 934,8</w:t>
            </w:r>
          </w:p>
        </w:tc>
        <w:tc>
          <w:tcPr>
            <w:tcW w:w="735" w:type="dxa"/>
            <w:tcBorders>
              <w:top w:val="single" w:sz="4" w:space="0" w:color="auto"/>
              <w:left w:val="nil"/>
              <w:bottom w:val="single" w:sz="4" w:space="0" w:color="auto"/>
              <w:right w:val="nil"/>
            </w:tcBorders>
            <w:shd w:val="clear" w:color="auto" w:fill="D9D9D9" w:themeFill="background1" w:themeFillShade="D9"/>
            <w:noWrap/>
            <w:vAlign w:val="bottom"/>
            <w:hideMark/>
          </w:tcPr>
          <w:p w14:paraId="13245FF0" w14:textId="77777777" w:rsidR="00E10228" w:rsidRPr="0036109B" w:rsidRDefault="00E10228" w:rsidP="00CF7FFA">
            <w:pPr>
              <w:spacing w:after="0" w:line="240" w:lineRule="auto"/>
              <w:jc w:val="right"/>
              <w:rPr>
                <w:rFonts w:eastAsia="Times New Roman" w:cstheme="minorHAnsi"/>
                <w:b/>
                <w:bCs/>
                <w:sz w:val="14"/>
                <w:szCs w:val="14"/>
                <w:lang w:eastAsia="nl-BE"/>
              </w:rPr>
            </w:pPr>
            <w:r w:rsidRPr="0036109B">
              <w:rPr>
                <w:rFonts w:eastAsia="Times New Roman" w:cstheme="minorHAnsi"/>
                <w:b/>
                <w:bCs/>
                <w:sz w:val="14"/>
                <w:szCs w:val="14"/>
                <w:lang w:val="fr" w:eastAsia="nl-BE"/>
              </w:rPr>
              <w:t>1,1</w:t>
            </w:r>
          </w:p>
        </w:tc>
        <w:tc>
          <w:tcPr>
            <w:tcW w:w="638"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75812DF6" w14:textId="77777777" w:rsidR="00E10228" w:rsidRPr="0036109B" w:rsidRDefault="00E10228" w:rsidP="00CF7FFA">
            <w:pPr>
              <w:spacing w:after="0" w:line="240" w:lineRule="auto"/>
              <w:jc w:val="right"/>
              <w:rPr>
                <w:rFonts w:eastAsia="Times New Roman" w:cstheme="minorHAnsi"/>
                <w:b/>
                <w:bCs/>
                <w:sz w:val="14"/>
                <w:szCs w:val="14"/>
                <w:lang w:eastAsia="nl-BE"/>
              </w:rPr>
            </w:pPr>
            <w:r w:rsidRPr="0036109B">
              <w:rPr>
                <w:rFonts w:eastAsia="Times New Roman" w:cstheme="minorHAnsi"/>
                <w:b/>
                <w:bCs/>
                <w:sz w:val="14"/>
                <w:szCs w:val="14"/>
                <w:lang w:val="fr" w:eastAsia="nl-BE"/>
              </w:rPr>
              <w:t>100,0</w:t>
            </w:r>
          </w:p>
        </w:tc>
        <w:tc>
          <w:tcPr>
            <w:tcW w:w="805" w:type="dxa"/>
            <w:tcBorders>
              <w:top w:val="single" w:sz="4" w:space="0" w:color="auto"/>
              <w:left w:val="nil"/>
              <w:bottom w:val="single" w:sz="4" w:space="0" w:color="auto"/>
              <w:right w:val="nil"/>
            </w:tcBorders>
            <w:shd w:val="clear" w:color="auto" w:fill="D9D9D9" w:themeFill="background1" w:themeFillShade="D9"/>
            <w:vAlign w:val="bottom"/>
            <w:hideMark/>
          </w:tcPr>
          <w:p w14:paraId="77CD23E9" w14:textId="77777777" w:rsidR="00E10228" w:rsidRPr="0036109B" w:rsidRDefault="00E10228" w:rsidP="00CF7FFA">
            <w:pPr>
              <w:spacing w:after="0" w:line="240" w:lineRule="auto"/>
              <w:jc w:val="right"/>
              <w:rPr>
                <w:rFonts w:eastAsia="Times New Roman" w:cstheme="minorHAnsi"/>
                <w:b/>
                <w:bCs/>
                <w:sz w:val="14"/>
                <w:szCs w:val="14"/>
                <w:lang w:eastAsia="nl-BE"/>
              </w:rPr>
            </w:pPr>
            <w:r w:rsidRPr="0036109B">
              <w:rPr>
                <w:rFonts w:eastAsia="Times New Roman" w:cstheme="minorHAnsi"/>
                <w:b/>
                <w:bCs/>
                <w:sz w:val="14"/>
                <w:szCs w:val="14"/>
                <w:lang w:val="fr" w:eastAsia="nl-BE"/>
              </w:rPr>
              <w:t>804 048,7</w:t>
            </w:r>
          </w:p>
        </w:tc>
        <w:tc>
          <w:tcPr>
            <w:tcW w:w="806" w:type="dxa"/>
            <w:tcBorders>
              <w:top w:val="single" w:sz="4" w:space="0" w:color="auto"/>
              <w:left w:val="nil"/>
              <w:bottom w:val="single" w:sz="4" w:space="0" w:color="auto"/>
              <w:right w:val="nil"/>
            </w:tcBorders>
            <w:shd w:val="clear" w:color="auto" w:fill="D9D9D9" w:themeFill="background1" w:themeFillShade="D9"/>
            <w:vAlign w:val="bottom"/>
            <w:hideMark/>
          </w:tcPr>
          <w:p w14:paraId="13E79111" w14:textId="77777777" w:rsidR="00E10228" w:rsidRPr="0036109B" w:rsidRDefault="00E10228" w:rsidP="00CF7FFA">
            <w:pPr>
              <w:spacing w:after="0" w:line="240" w:lineRule="auto"/>
              <w:jc w:val="right"/>
              <w:rPr>
                <w:rFonts w:eastAsia="Times New Roman" w:cstheme="minorHAnsi"/>
                <w:b/>
                <w:bCs/>
                <w:sz w:val="14"/>
                <w:szCs w:val="14"/>
                <w:lang w:eastAsia="nl-BE"/>
              </w:rPr>
            </w:pPr>
            <w:r w:rsidRPr="0036109B">
              <w:rPr>
                <w:rFonts w:eastAsia="Times New Roman" w:cstheme="minorHAnsi"/>
                <w:b/>
                <w:bCs/>
                <w:sz w:val="14"/>
                <w:szCs w:val="14"/>
                <w:lang w:val="fr" w:eastAsia="nl-BE"/>
              </w:rPr>
              <w:t>807 520,1</w:t>
            </w:r>
          </w:p>
        </w:tc>
        <w:tc>
          <w:tcPr>
            <w:tcW w:w="80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5B4F08C" w14:textId="77777777" w:rsidR="00E10228" w:rsidRPr="0036109B" w:rsidRDefault="00E10228" w:rsidP="00CF7FFA">
            <w:pPr>
              <w:spacing w:after="0" w:line="240" w:lineRule="auto"/>
              <w:jc w:val="right"/>
              <w:rPr>
                <w:rFonts w:eastAsia="Times New Roman" w:cstheme="minorHAnsi"/>
                <w:b/>
                <w:bCs/>
                <w:sz w:val="14"/>
                <w:szCs w:val="14"/>
                <w:lang w:eastAsia="nl-BE"/>
              </w:rPr>
            </w:pPr>
            <w:r w:rsidRPr="0036109B">
              <w:rPr>
                <w:rFonts w:eastAsia="Times New Roman" w:cstheme="minorHAnsi"/>
                <w:b/>
                <w:bCs/>
                <w:sz w:val="14"/>
                <w:szCs w:val="14"/>
                <w:lang w:val="fr" w:eastAsia="nl-BE"/>
              </w:rPr>
              <w:t>0,4</w:t>
            </w:r>
          </w:p>
        </w:tc>
        <w:tc>
          <w:tcPr>
            <w:tcW w:w="78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97D0D9D" w14:textId="77777777" w:rsidR="00E10228" w:rsidRPr="0036109B" w:rsidRDefault="00E10228" w:rsidP="00CF7FFA">
            <w:pPr>
              <w:spacing w:after="0" w:line="240" w:lineRule="auto"/>
              <w:jc w:val="right"/>
              <w:rPr>
                <w:rFonts w:eastAsia="Times New Roman" w:cstheme="minorHAnsi"/>
                <w:b/>
                <w:bCs/>
                <w:sz w:val="14"/>
                <w:szCs w:val="14"/>
                <w:lang w:eastAsia="nl-BE"/>
              </w:rPr>
            </w:pPr>
            <w:r w:rsidRPr="0036109B">
              <w:rPr>
                <w:rFonts w:eastAsia="Times New Roman" w:cstheme="minorHAnsi"/>
                <w:b/>
                <w:bCs/>
                <w:sz w:val="14"/>
                <w:szCs w:val="14"/>
                <w:lang w:val="fr" w:eastAsia="nl-BE"/>
              </w:rPr>
              <w:t>65,5</w:t>
            </w:r>
          </w:p>
        </w:tc>
      </w:tr>
    </w:tbl>
    <w:p w14:paraId="48BD9D7B" w14:textId="77777777" w:rsidR="00E10228" w:rsidRDefault="00E10228" w:rsidP="00E10228">
      <w:pPr>
        <w:rPr>
          <w:rFonts w:cstheme="minorHAnsi"/>
          <w:color w:val="000000"/>
          <w:lang w:val="nl-NL"/>
        </w:rPr>
      </w:pPr>
      <w:r>
        <w:rPr>
          <w:rFonts w:cstheme="minorHAnsi"/>
          <w:color w:val="000000"/>
          <w:lang w:val="nl-NL"/>
        </w:rPr>
        <w:br w:type="page"/>
      </w:r>
    </w:p>
    <w:p w14:paraId="5733B0A2" w14:textId="77777777" w:rsidR="00E10228" w:rsidRDefault="00E10228" w:rsidP="00E10228">
      <w:pPr>
        <w:spacing w:after="0" w:line="240" w:lineRule="auto"/>
        <w:rPr>
          <w:rFonts w:cstheme="minorHAnsi"/>
          <w:b/>
          <w:bCs/>
          <w:color w:val="000000"/>
          <w:lang w:val="nl-NL"/>
        </w:rPr>
      </w:pPr>
      <w:r>
        <w:rPr>
          <w:rFonts w:cstheme="minorHAnsi"/>
          <w:b/>
          <w:bCs/>
          <w:color w:val="000000"/>
          <w:lang w:val="fr"/>
        </w:rPr>
        <w:lastRenderedPageBreak/>
        <w:t>Conclusion</w:t>
      </w:r>
    </w:p>
    <w:p w14:paraId="750C2CC9" w14:textId="77777777" w:rsidR="00E10228" w:rsidRPr="00BA2211" w:rsidRDefault="00E10228" w:rsidP="00E10228">
      <w:pPr>
        <w:spacing w:after="0" w:line="240" w:lineRule="auto"/>
        <w:jc w:val="both"/>
        <w:rPr>
          <w:rFonts w:cstheme="minorHAnsi"/>
          <w:b/>
          <w:bCs/>
          <w:color w:val="000000"/>
          <w:lang w:val="nl-NL"/>
        </w:rPr>
      </w:pPr>
    </w:p>
    <w:p w14:paraId="6F1F1779" w14:textId="77777777" w:rsidR="00E10228" w:rsidRPr="00C76BD1" w:rsidRDefault="00E10228" w:rsidP="00E10228">
      <w:pPr>
        <w:spacing w:after="0" w:line="240" w:lineRule="auto"/>
        <w:jc w:val="both"/>
        <w:rPr>
          <w:color w:val="000000"/>
        </w:rPr>
      </w:pPr>
      <w:r w:rsidRPr="1C83DAF5">
        <w:rPr>
          <w:color w:val="000000" w:themeColor="text1"/>
          <w:lang w:val="fr"/>
        </w:rPr>
        <w:t>La conjoncture défavorable à laquelle le secteur de l’ameublement – tout comme les autres secteurs d’ailleurs – se voit confrontée n’empêche pas les entreprises de persévérer sur le chemin de la durabilité, de la circularité, de l’innovation et du développement de la production, ni de se préparer à l’avenir.</w:t>
      </w:r>
    </w:p>
    <w:p w14:paraId="16D471EC" w14:textId="77777777" w:rsidR="00E10228" w:rsidRPr="00C76BD1" w:rsidRDefault="00E10228" w:rsidP="00E10228">
      <w:pPr>
        <w:spacing w:after="0" w:line="240" w:lineRule="auto"/>
        <w:jc w:val="both"/>
        <w:rPr>
          <w:rFonts w:cstheme="minorHAnsi"/>
          <w:color w:val="000000"/>
        </w:rPr>
      </w:pPr>
    </w:p>
    <w:p w14:paraId="6F23330A" w14:textId="77777777" w:rsidR="00E10228" w:rsidRPr="00C76BD1" w:rsidRDefault="00E10228" w:rsidP="00E10228">
      <w:pPr>
        <w:spacing w:after="0" w:line="240" w:lineRule="auto"/>
        <w:jc w:val="both"/>
        <w:rPr>
          <w:rFonts w:cstheme="minorHAnsi"/>
          <w:color w:val="000000"/>
        </w:rPr>
      </w:pPr>
      <w:r>
        <w:rPr>
          <w:color w:val="000000"/>
          <w:lang w:val="fr-FR"/>
        </w:rPr>
        <w:t xml:space="preserve">Notamment à la faveur d’initiatives législatives – comme celle de la Responsabilité élargie des producteurs –, des efforts accrus sont déployés, par exemple en matière d'éco-conception et de ‘design for </w:t>
      </w:r>
      <w:proofErr w:type="spellStart"/>
      <w:r>
        <w:rPr>
          <w:color w:val="000000"/>
          <w:lang w:val="fr-FR"/>
        </w:rPr>
        <w:t>disassembly</w:t>
      </w:r>
      <w:proofErr w:type="spellEnd"/>
      <w:r>
        <w:rPr>
          <w:color w:val="000000"/>
          <w:lang w:val="fr-FR"/>
        </w:rPr>
        <w:t xml:space="preserve">’, permettant la réutilisation et le recyclage des matériaux et des matières premières. </w:t>
      </w:r>
      <w:r>
        <w:rPr>
          <w:rFonts w:cstheme="minorHAnsi"/>
          <w:color w:val="000000"/>
          <w:lang w:val="fr"/>
        </w:rPr>
        <w:t>Un pionnier dans ce domaine est sans aucun doute le secteur du matelas, où des solutions circulaires sont toujours plus souvent proposées, sur le marché. À cet égard, des fabricants belges jouent un rôle de premier plan, servant souvent de modèles à leurs collègues européens. Il s’agit à présent de sensibiliser davantage le consommateur à ces solutions et produits circulaires, écologiquement responsables.</w:t>
      </w:r>
    </w:p>
    <w:p w14:paraId="3469EB56" w14:textId="77777777" w:rsidR="00E10228" w:rsidRPr="00C76BD1" w:rsidRDefault="00E10228" w:rsidP="00E10228">
      <w:pPr>
        <w:spacing w:after="0" w:line="240" w:lineRule="auto"/>
        <w:jc w:val="both"/>
        <w:rPr>
          <w:color w:val="000000" w:themeColor="text1"/>
        </w:rPr>
      </w:pPr>
    </w:p>
    <w:p w14:paraId="5E7620E0" w14:textId="77777777" w:rsidR="00E10228" w:rsidRPr="00C76BD1" w:rsidRDefault="00E10228" w:rsidP="00E10228">
      <w:pPr>
        <w:pStyle w:val="xmsoplaintext"/>
        <w:spacing w:before="0" w:beforeAutospacing="0" w:after="0" w:afterAutospacing="0"/>
        <w:jc w:val="both"/>
        <w:rPr>
          <w:lang w:val="fr-BE"/>
        </w:rPr>
      </w:pPr>
      <w:r w:rsidRPr="00315ED8">
        <w:rPr>
          <w:lang w:val="fr"/>
        </w:rPr>
        <w:t xml:space="preserve">Ces dernières années, la durabilité a toujours </w:t>
      </w:r>
      <w:r>
        <w:rPr>
          <w:lang w:val="fr"/>
        </w:rPr>
        <w:t>davantage</w:t>
      </w:r>
      <w:r w:rsidRPr="00315ED8">
        <w:rPr>
          <w:lang w:val="fr"/>
        </w:rPr>
        <w:t xml:space="preserve"> été placée au centre des préoccupations. Tandis que le Règlement européen sur le bois, en vigueur depuis 2013, porte l’attention sur la légalité, la mise en place du Règlement européen anti-déforestation (</w:t>
      </w:r>
      <w:proofErr w:type="spellStart"/>
      <w:r w:rsidRPr="00315ED8">
        <w:rPr>
          <w:lang w:val="fr"/>
        </w:rPr>
        <w:t>European</w:t>
      </w:r>
      <w:proofErr w:type="spellEnd"/>
      <w:r w:rsidRPr="00315ED8">
        <w:rPr>
          <w:lang w:val="fr"/>
        </w:rPr>
        <w:t xml:space="preserve"> Union </w:t>
      </w:r>
      <w:proofErr w:type="spellStart"/>
      <w:r w:rsidRPr="00315ED8">
        <w:rPr>
          <w:lang w:val="fr"/>
        </w:rPr>
        <w:t>Deforestation</w:t>
      </w:r>
      <w:proofErr w:type="spellEnd"/>
      <w:r w:rsidRPr="00315ED8">
        <w:rPr>
          <w:lang w:val="fr"/>
        </w:rPr>
        <w:t xml:space="preserve"> </w:t>
      </w:r>
      <w:proofErr w:type="spellStart"/>
      <w:r w:rsidRPr="00315ED8">
        <w:rPr>
          <w:lang w:val="fr"/>
        </w:rPr>
        <w:t>Regulation</w:t>
      </w:r>
      <w:proofErr w:type="spellEnd"/>
      <w:r w:rsidRPr="00315ED8">
        <w:rPr>
          <w:lang w:val="fr"/>
        </w:rPr>
        <w:t xml:space="preserve">), à présent très probablement </w:t>
      </w:r>
      <w:r>
        <w:rPr>
          <w:lang w:val="fr"/>
        </w:rPr>
        <w:t>reportée</w:t>
      </w:r>
      <w:r w:rsidRPr="00315ED8">
        <w:rPr>
          <w:lang w:val="fr"/>
        </w:rPr>
        <w:t xml:space="preserve"> d’une année, va ajouter ici une puissante stimulation. À côté de la légalité de la provenance du bois, la durabilité de son origine, également, est maintenant toujours davantage prise en compte. En outre, les sièges ou assises, qui jusqu’ici n’étaient globalement pas concernés par les obligations du Règlement sur le bois, se retrouvent désormais aussi dans le champ d’application de cette loi. Pour les acteurs des importations – mais aussi pour ceux des exportations –, cela va conduire à des mesures supplémentaires, afin de garantir tant la légalité que la durabilité de l’offre de produits. </w:t>
      </w:r>
      <w:proofErr w:type="spellStart"/>
      <w:r w:rsidRPr="00315ED8">
        <w:rPr>
          <w:lang w:val="fr"/>
        </w:rPr>
        <w:t>Fedustria</w:t>
      </w:r>
      <w:proofErr w:type="spellEnd"/>
      <w:r w:rsidRPr="00315ED8">
        <w:rPr>
          <w:lang w:val="fr"/>
        </w:rPr>
        <w:t xml:space="preserve"> soutient ses membres par des conseils et une assistance, dans ce dossier, et travaille à cette fin en étroite coopération avec la Confédération européenne des industries du bois – CEI-Bois – (</w:t>
      </w:r>
      <w:proofErr w:type="spellStart"/>
      <w:r w:rsidRPr="00315ED8">
        <w:rPr>
          <w:lang w:val="fr"/>
        </w:rPr>
        <w:t>European</w:t>
      </w:r>
      <w:proofErr w:type="spellEnd"/>
      <w:r w:rsidRPr="00315ED8">
        <w:rPr>
          <w:lang w:val="fr"/>
        </w:rPr>
        <w:t xml:space="preserve"> </w:t>
      </w:r>
      <w:proofErr w:type="spellStart"/>
      <w:r w:rsidRPr="00315ED8">
        <w:rPr>
          <w:lang w:val="fr"/>
        </w:rPr>
        <w:t>Confederation</w:t>
      </w:r>
      <w:proofErr w:type="spellEnd"/>
      <w:r w:rsidRPr="00315ED8">
        <w:rPr>
          <w:lang w:val="fr"/>
        </w:rPr>
        <w:t xml:space="preserve"> of </w:t>
      </w:r>
      <w:proofErr w:type="spellStart"/>
      <w:r w:rsidRPr="00315ED8">
        <w:rPr>
          <w:lang w:val="fr"/>
        </w:rPr>
        <w:t>Woodworking</w:t>
      </w:r>
      <w:proofErr w:type="spellEnd"/>
      <w:r w:rsidRPr="00315ED8">
        <w:rPr>
          <w:lang w:val="fr"/>
        </w:rPr>
        <w:t xml:space="preserve"> Industries), ainsi qu’avec l’EFIC (Confédération européenne des industries de l’ameublement – </w:t>
      </w:r>
      <w:proofErr w:type="spellStart"/>
      <w:r w:rsidRPr="00315ED8">
        <w:rPr>
          <w:lang w:val="fr"/>
        </w:rPr>
        <w:t>European</w:t>
      </w:r>
      <w:proofErr w:type="spellEnd"/>
      <w:r w:rsidRPr="00315ED8">
        <w:rPr>
          <w:lang w:val="fr"/>
        </w:rPr>
        <w:t xml:space="preserve"> Furniture Industries </w:t>
      </w:r>
      <w:proofErr w:type="spellStart"/>
      <w:r w:rsidRPr="00315ED8">
        <w:rPr>
          <w:lang w:val="fr"/>
        </w:rPr>
        <w:t>Confederation</w:t>
      </w:r>
      <w:proofErr w:type="spellEnd"/>
      <w:r w:rsidRPr="00315ED8">
        <w:rPr>
          <w:lang w:val="fr"/>
        </w:rPr>
        <w:t xml:space="preserve">). </w:t>
      </w:r>
    </w:p>
    <w:p w14:paraId="74D81B05" w14:textId="77777777" w:rsidR="00E10228" w:rsidRPr="00C76BD1" w:rsidRDefault="00E10228" w:rsidP="00E10228">
      <w:pPr>
        <w:pStyle w:val="xmsoplaintext"/>
        <w:spacing w:before="0" w:beforeAutospacing="0" w:after="0" w:afterAutospacing="0"/>
        <w:jc w:val="both"/>
        <w:rPr>
          <w:lang w:val="fr-BE"/>
        </w:rPr>
      </w:pPr>
      <w:r w:rsidRPr="00C76BD1">
        <w:rPr>
          <w:lang w:val="fr-BE"/>
        </w:rPr>
        <w:t> </w:t>
      </w:r>
    </w:p>
    <w:p w14:paraId="2191935E" w14:textId="77777777" w:rsidR="00E10228" w:rsidRPr="00C76BD1" w:rsidRDefault="00E10228" w:rsidP="00E10228">
      <w:pPr>
        <w:pStyle w:val="xmsoplaintext"/>
        <w:spacing w:before="0" w:beforeAutospacing="0" w:after="0" w:afterAutospacing="0"/>
        <w:jc w:val="both"/>
        <w:rPr>
          <w:lang w:val="fr-BE"/>
        </w:rPr>
      </w:pPr>
      <w:r w:rsidRPr="00315ED8">
        <w:rPr>
          <w:lang w:val="fr"/>
        </w:rPr>
        <w:t xml:space="preserve">L’introduction des obligations sera peut-être reportée d’une année – le Parlement européen doit encore statuer, à cet égard –, mais cela ne mènera sûrement pas les opérateurs du marché à ajourner ou à retarder la préparation aux nouvelles exigences. Au contraire : </w:t>
      </w:r>
      <w:proofErr w:type="spellStart"/>
      <w:r w:rsidRPr="00315ED8">
        <w:rPr>
          <w:lang w:val="fr"/>
        </w:rPr>
        <w:t>Fedustria</w:t>
      </w:r>
      <w:proofErr w:type="spellEnd"/>
      <w:r w:rsidRPr="00315ED8">
        <w:rPr>
          <w:lang w:val="fr"/>
        </w:rPr>
        <w:t xml:space="preserve"> encourage ses membres à profiter des mois qui viennent pour réaliser au mieux cette préparation.</w:t>
      </w:r>
    </w:p>
    <w:p w14:paraId="68CF3D0F" w14:textId="77777777" w:rsidR="00E10228" w:rsidRPr="00C76BD1" w:rsidRDefault="00E10228" w:rsidP="00E10228">
      <w:pPr>
        <w:spacing w:after="0" w:line="240" w:lineRule="auto"/>
        <w:jc w:val="both"/>
        <w:rPr>
          <w:color w:val="000000" w:themeColor="text1"/>
        </w:rPr>
      </w:pPr>
    </w:p>
    <w:p w14:paraId="71666653" w14:textId="77777777" w:rsidR="00E10228" w:rsidRPr="00C76BD1" w:rsidRDefault="00E10228" w:rsidP="00E10228">
      <w:pPr>
        <w:spacing w:after="0" w:line="240" w:lineRule="auto"/>
        <w:jc w:val="both"/>
        <w:rPr>
          <w:color w:val="000000" w:themeColor="text1"/>
        </w:rPr>
      </w:pPr>
      <w:r w:rsidRPr="1C83DAF5">
        <w:rPr>
          <w:color w:val="000000" w:themeColor="text1"/>
          <w:lang w:val="fr"/>
        </w:rPr>
        <w:t xml:space="preserve">Avec des initiatives comme la plateforme tendances </w:t>
      </w:r>
      <w:hyperlink r:id="rId14" w:history="1">
        <w:hyperlink r:id="rId15" w:history="1">
          <w:r w:rsidRPr="1C83DAF5">
            <w:rPr>
              <w:rStyle w:val="Hyperlink"/>
              <w:lang w:val="fr"/>
            </w:rPr>
            <w:t>WATF</w:t>
          </w:r>
        </w:hyperlink>
      </w:hyperlink>
      <w:r w:rsidRPr="1C83DAF5">
        <w:rPr>
          <w:color w:val="000000" w:themeColor="text1"/>
          <w:lang w:val="fr"/>
        </w:rPr>
        <w:t xml:space="preserve"> (</w:t>
      </w:r>
      <w:proofErr w:type="spellStart"/>
      <w:r w:rsidRPr="1C83DAF5">
        <w:rPr>
          <w:color w:val="000000" w:themeColor="text1"/>
          <w:lang w:val="fr"/>
        </w:rPr>
        <w:t>Woodcrafts</w:t>
      </w:r>
      <w:proofErr w:type="spellEnd"/>
      <w:r w:rsidRPr="1C83DAF5">
        <w:rPr>
          <w:color w:val="000000" w:themeColor="text1"/>
          <w:lang w:val="fr"/>
        </w:rPr>
        <w:t xml:space="preserve"> and Textile Futures – artisanat du bois et futurs textiles), ou encore l’outil STEM </w:t>
      </w:r>
      <w:hyperlink r:id="rId16" w:history="1">
        <w:r w:rsidRPr="00B72552">
          <w:rPr>
            <w:rStyle w:val="Hyperlink"/>
            <w:lang w:val="fr"/>
          </w:rPr>
          <w:t>TWIINZ.WORLD</w:t>
        </w:r>
      </w:hyperlink>
      <w:r w:rsidRPr="1C83DAF5">
        <w:rPr>
          <w:color w:val="000000" w:themeColor="text1"/>
          <w:lang w:val="fr"/>
        </w:rPr>
        <w:t>, développé</w:t>
      </w:r>
      <w:r>
        <w:rPr>
          <w:color w:val="000000" w:themeColor="text1"/>
          <w:lang w:val="fr"/>
        </w:rPr>
        <w:t>s</w:t>
      </w:r>
      <w:r w:rsidRPr="1C83DAF5">
        <w:rPr>
          <w:color w:val="000000" w:themeColor="text1"/>
          <w:lang w:val="fr"/>
        </w:rPr>
        <w:t xml:space="preserve"> en coopération avec </w:t>
      </w:r>
      <w:proofErr w:type="spellStart"/>
      <w:r w:rsidRPr="1C83DAF5">
        <w:rPr>
          <w:color w:val="000000" w:themeColor="text1"/>
          <w:lang w:val="fr"/>
        </w:rPr>
        <w:t>Trendwolves</w:t>
      </w:r>
      <w:proofErr w:type="spellEnd"/>
      <w:r w:rsidRPr="1C83DAF5">
        <w:rPr>
          <w:color w:val="000000" w:themeColor="text1"/>
          <w:lang w:val="fr"/>
        </w:rPr>
        <w:t xml:space="preserve">, agence de marketing auprès des jeunes, </w:t>
      </w:r>
      <w:proofErr w:type="spellStart"/>
      <w:r w:rsidRPr="1C83DAF5">
        <w:rPr>
          <w:color w:val="000000" w:themeColor="text1"/>
          <w:lang w:val="fr"/>
        </w:rPr>
        <w:t>Fedustria</w:t>
      </w:r>
      <w:proofErr w:type="spellEnd"/>
      <w:r w:rsidRPr="1C83DAF5">
        <w:rPr>
          <w:color w:val="000000" w:themeColor="text1"/>
          <w:lang w:val="fr"/>
        </w:rPr>
        <w:t xml:space="preserve"> souhaite toucher de jeunes talents, afin de leur faire connaître le secteur et de les orienter vers lui.  Pour la deuxième année consécutive, un rapport tendances sera publié début octobre, avec cette fois une mise en avant de la « créativité augmentée », illustrée par toute une série d’exemples tirés du secteur. Via TWIINZ.WORLD, les 10 à 14 ans peuvent se lancer dans un travail créatif, autour de produits 3D d’entreprises membres de </w:t>
      </w:r>
      <w:proofErr w:type="spellStart"/>
      <w:r w:rsidRPr="1C83DAF5">
        <w:rPr>
          <w:color w:val="000000" w:themeColor="text1"/>
          <w:lang w:val="fr"/>
        </w:rPr>
        <w:t>Fedustria</w:t>
      </w:r>
      <w:proofErr w:type="spellEnd"/>
      <w:r w:rsidRPr="1C83DAF5">
        <w:rPr>
          <w:color w:val="000000" w:themeColor="text1"/>
          <w:lang w:val="fr"/>
        </w:rPr>
        <w:t xml:space="preserve">, pour bâtir leur propre monde de rêve. </w:t>
      </w:r>
    </w:p>
    <w:p w14:paraId="0070845A" w14:textId="77777777" w:rsidR="00E10228" w:rsidRDefault="00E10228" w:rsidP="00E10228">
      <w:pPr>
        <w:rPr>
          <w:color w:val="000000" w:themeColor="text1"/>
        </w:rPr>
      </w:pPr>
      <w:r>
        <w:rPr>
          <w:color w:val="000000" w:themeColor="text1"/>
        </w:rPr>
        <w:br w:type="page"/>
      </w:r>
    </w:p>
    <w:p w14:paraId="77923075" w14:textId="77777777" w:rsidR="00E10228" w:rsidRDefault="00E10228" w:rsidP="00E10228">
      <w:pPr>
        <w:spacing w:after="0" w:line="240" w:lineRule="auto"/>
        <w:jc w:val="both"/>
        <w:rPr>
          <w:color w:val="000000" w:themeColor="text1"/>
        </w:rPr>
      </w:pPr>
    </w:p>
    <w:p w14:paraId="3E59E873" w14:textId="77777777" w:rsidR="00E10228" w:rsidRPr="00C76BD1" w:rsidRDefault="00E10228" w:rsidP="00E10228">
      <w:pPr>
        <w:spacing w:after="0" w:line="240" w:lineRule="auto"/>
        <w:jc w:val="both"/>
        <w:rPr>
          <w:color w:val="000000" w:themeColor="text1"/>
        </w:rPr>
      </w:pPr>
    </w:p>
    <w:p w14:paraId="1A375108" w14:textId="77777777" w:rsidR="00E10228" w:rsidRPr="00C76BD1" w:rsidRDefault="00E10228" w:rsidP="00E10228">
      <w:pPr>
        <w:spacing w:after="0" w:line="240" w:lineRule="auto"/>
        <w:jc w:val="both"/>
        <w:rPr>
          <w:color w:val="000000" w:themeColor="text1"/>
        </w:rPr>
      </w:pPr>
      <w:r w:rsidRPr="1B697D38">
        <w:rPr>
          <w:color w:val="000000" w:themeColor="text1"/>
          <w:lang w:val="fr"/>
        </w:rPr>
        <w:t xml:space="preserve">En outre, les producteurs belges d’ameublement recherchent activement de nouvelles opportunités de marché, bien sûr aussi à l’étranger.  La voie vers </w:t>
      </w:r>
      <w:r>
        <w:rPr>
          <w:color w:val="000000" w:themeColor="text1"/>
          <w:lang w:val="fr"/>
        </w:rPr>
        <w:t>cet objectif</w:t>
      </w:r>
      <w:r w:rsidRPr="1B697D38">
        <w:rPr>
          <w:color w:val="000000" w:themeColor="text1"/>
          <w:lang w:val="fr"/>
        </w:rPr>
        <w:t xml:space="preserve"> est préparée par les participations collectives à des foires, sous l’étendard « </w:t>
      </w:r>
      <w:proofErr w:type="spellStart"/>
      <w:r w:rsidRPr="1B697D38">
        <w:rPr>
          <w:color w:val="000000" w:themeColor="text1"/>
          <w:lang w:val="fr"/>
        </w:rPr>
        <w:t>Belgian</w:t>
      </w:r>
      <w:proofErr w:type="spellEnd"/>
      <w:r w:rsidRPr="1B697D38">
        <w:rPr>
          <w:color w:val="000000" w:themeColor="text1"/>
          <w:lang w:val="fr"/>
        </w:rPr>
        <w:t xml:space="preserve"> Furniture </w:t>
      </w:r>
      <w:proofErr w:type="spellStart"/>
      <w:r w:rsidRPr="1B697D38">
        <w:rPr>
          <w:color w:val="000000" w:themeColor="text1"/>
          <w:lang w:val="fr"/>
        </w:rPr>
        <w:t>powered</w:t>
      </w:r>
      <w:proofErr w:type="spellEnd"/>
      <w:r w:rsidRPr="1B697D38">
        <w:rPr>
          <w:color w:val="000000" w:themeColor="text1"/>
          <w:lang w:val="fr"/>
        </w:rPr>
        <w:t xml:space="preserve"> by </w:t>
      </w:r>
      <w:proofErr w:type="spellStart"/>
      <w:r w:rsidRPr="1B697D38">
        <w:rPr>
          <w:color w:val="000000" w:themeColor="text1"/>
          <w:lang w:val="fr"/>
        </w:rPr>
        <w:t>Fedustria</w:t>
      </w:r>
      <w:proofErr w:type="spellEnd"/>
      <w:r w:rsidRPr="1B697D38">
        <w:rPr>
          <w:color w:val="000000" w:themeColor="text1"/>
          <w:lang w:val="fr"/>
        </w:rPr>
        <w:t> », comme par exemple à Milan ou au Moyen-Orient. Mais le Salon du Meuble de Bruxelles présente lui aussi des opportunités à cet égard, avec par exemple une nouvelle mise en valeur de l’offre de mobilier extérieur, par le biais de l’« </w:t>
      </w:r>
      <w:proofErr w:type="spellStart"/>
      <w:r w:rsidRPr="1B697D38">
        <w:rPr>
          <w:color w:val="000000" w:themeColor="text1"/>
          <w:lang w:val="fr"/>
        </w:rPr>
        <w:t>Outdoor</w:t>
      </w:r>
      <w:proofErr w:type="spellEnd"/>
      <w:r w:rsidRPr="1B697D38">
        <w:rPr>
          <w:color w:val="000000" w:themeColor="text1"/>
          <w:lang w:val="fr"/>
        </w:rPr>
        <w:t xml:space="preserve"> </w:t>
      </w:r>
      <w:proofErr w:type="spellStart"/>
      <w:r w:rsidRPr="1B697D38">
        <w:rPr>
          <w:color w:val="000000" w:themeColor="text1"/>
          <w:lang w:val="fr"/>
        </w:rPr>
        <w:t>island</w:t>
      </w:r>
      <w:proofErr w:type="spellEnd"/>
      <w:r w:rsidRPr="1B697D38">
        <w:rPr>
          <w:color w:val="000000" w:themeColor="text1"/>
          <w:lang w:val="fr"/>
        </w:rPr>
        <w:t xml:space="preserve"> ». </w:t>
      </w:r>
    </w:p>
    <w:p w14:paraId="572C5DCC" w14:textId="77777777" w:rsidR="00E10228" w:rsidRPr="00C76BD1" w:rsidRDefault="00E10228" w:rsidP="00E10228">
      <w:pPr>
        <w:spacing w:after="0" w:line="240" w:lineRule="auto"/>
        <w:jc w:val="both"/>
        <w:rPr>
          <w:color w:val="000000" w:themeColor="text1"/>
        </w:rPr>
      </w:pPr>
    </w:p>
    <w:p w14:paraId="5C17364C" w14:textId="77777777" w:rsidR="00E10228" w:rsidRPr="00C76BD1" w:rsidRDefault="00E10228" w:rsidP="00E10228">
      <w:pPr>
        <w:spacing w:after="0" w:line="240" w:lineRule="auto"/>
        <w:jc w:val="both"/>
        <w:rPr>
          <w:color w:val="000000" w:themeColor="text1"/>
        </w:rPr>
      </w:pPr>
      <w:r>
        <w:rPr>
          <w:color w:val="000000" w:themeColor="text1"/>
          <w:lang w:val="fr"/>
        </w:rPr>
        <w:t>Pour terminer, notons que le report de la Foire du Meuble de Cologne début 2025 va, on l’espère, amener des acheteurs allemands et autres à prendre la route de Bruxelles. En attendant, nous vous accueillerons à bras ouverts.</w:t>
      </w:r>
    </w:p>
    <w:p w14:paraId="018ADDA0" w14:textId="77777777" w:rsidR="00E10228" w:rsidRPr="00C76BD1" w:rsidRDefault="00E10228" w:rsidP="00E10228">
      <w:pPr>
        <w:spacing w:after="0" w:line="240" w:lineRule="auto"/>
        <w:jc w:val="both"/>
        <w:rPr>
          <w:color w:val="000000"/>
        </w:rPr>
      </w:pPr>
    </w:p>
    <w:p w14:paraId="4764F8B3" w14:textId="77777777" w:rsidR="00E10228" w:rsidRPr="00C76BD1" w:rsidRDefault="00E10228" w:rsidP="00E10228">
      <w:pPr>
        <w:spacing w:line="257" w:lineRule="auto"/>
        <w:jc w:val="center"/>
        <w:rPr>
          <w:rFonts w:cstheme="minorHAnsi"/>
          <w:color w:val="000000"/>
        </w:rPr>
      </w:pPr>
      <w:r>
        <w:rPr>
          <w:rFonts w:cstheme="minorHAnsi"/>
          <w:color w:val="000000"/>
          <w:lang w:val="fr"/>
        </w:rPr>
        <w:t>---------------------------------------------------</w:t>
      </w:r>
    </w:p>
    <w:p w14:paraId="07A5C000" w14:textId="77777777" w:rsidR="00E10228" w:rsidRPr="00C76BD1" w:rsidRDefault="00E10228" w:rsidP="00E10228">
      <w:r>
        <w:rPr>
          <w:lang w:val="fr"/>
        </w:rPr>
        <w:t>Infos complémentaires : Katja De Vos (</w:t>
      </w:r>
      <w:hyperlink r:id="rId17" w:history="1">
        <w:r w:rsidRPr="00BE106C">
          <w:rPr>
            <w:rStyle w:val="Hyperlink"/>
            <w:lang w:val="fr"/>
          </w:rPr>
          <w:t>katja.devos@fedustria.be</w:t>
        </w:r>
      </w:hyperlink>
      <w:r>
        <w:rPr>
          <w:lang w:val="fr"/>
        </w:rPr>
        <w:t>), +32 476 316467 / Filip De Jaeger (</w:t>
      </w:r>
      <w:hyperlink r:id="rId18" w:history="1">
        <w:r w:rsidRPr="008158DF">
          <w:rPr>
            <w:rStyle w:val="Hyperlink"/>
            <w:lang w:val="fr"/>
          </w:rPr>
          <w:t>filip.de.jaeger@fedustria.be</w:t>
        </w:r>
      </w:hyperlink>
      <w:r>
        <w:rPr>
          <w:lang w:val="fr"/>
        </w:rPr>
        <w:t>), +32 486 898184</w:t>
      </w:r>
    </w:p>
    <w:p w14:paraId="3897289F" w14:textId="77777777" w:rsidR="0021140E" w:rsidRDefault="0021140E"/>
    <w:p w14:paraId="19FE2738" w14:textId="14D3D7EC" w:rsidR="0021140E" w:rsidRPr="00E10228" w:rsidRDefault="0021140E" w:rsidP="00E10228">
      <w:pPr>
        <w:pStyle w:val="ListParagraph"/>
        <w:numPr>
          <w:ilvl w:val="0"/>
          <w:numId w:val="7"/>
        </w:numPr>
        <w:rPr>
          <w:b/>
        </w:rPr>
      </w:pPr>
      <w:r w:rsidRPr="00E10228">
        <w:rPr>
          <w:b/>
        </w:rPr>
        <w:t>SALON DU MEUBLE DE BRUXELLES</w:t>
      </w:r>
    </w:p>
    <w:p w14:paraId="46333F73" w14:textId="77777777" w:rsidR="0021140E" w:rsidRPr="0078453D" w:rsidRDefault="0021140E">
      <w:pPr>
        <w:rPr>
          <w:b/>
        </w:rPr>
      </w:pPr>
      <w:r w:rsidRPr="0078453D">
        <w:rPr>
          <w:b/>
        </w:rPr>
        <w:t>Campagne – Growing Homes</w:t>
      </w:r>
    </w:p>
    <w:p w14:paraId="3715E9C8" w14:textId="77777777" w:rsidR="0021140E" w:rsidRDefault="0021140E">
      <w:r>
        <w:t xml:space="preserve">Le slogan de notre campagne </w:t>
      </w:r>
      <w:r w:rsidR="00BE1631">
        <w:t>« </w:t>
      </w:r>
      <w:r>
        <w:t>Growing Homes</w:t>
      </w:r>
      <w:r w:rsidR="00BE1631">
        <w:t> »</w:t>
      </w:r>
      <w:r>
        <w:t xml:space="preserve"> a déjà été </w:t>
      </w:r>
      <w:r w:rsidR="00413653">
        <w:t>présenté en détail dans notre newsl</w:t>
      </w:r>
      <w:r w:rsidR="0078453D">
        <w:t xml:space="preserve">etter Brussels Furniture </w:t>
      </w:r>
      <w:proofErr w:type="spellStart"/>
      <w:r w:rsidR="0078453D">
        <w:t>AfFair</w:t>
      </w:r>
      <w:r w:rsidR="00413653">
        <w:t>s</w:t>
      </w:r>
      <w:proofErr w:type="spellEnd"/>
      <w:r w:rsidR="00413653">
        <w:t xml:space="preserve">, de même que la signification de la vidéo </w:t>
      </w:r>
      <w:r w:rsidR="00BE1631">
        <w:t>qui l’illustre</w:t>
      </w:r>
      <w:r w:rsidR="00413653">
        <w:t>. Pour une description complète de la campagne, nous vous référons à notre avant-propos, disponible sur notre site web.</w:t>
      </w:r>
    </w:p>
    <w:p w14:paraId="5EB670AD" w14:textId="77777777" w:rsidR="00413653" w:rsidRDefault="00413653">
      <w:r>
        <w:t xml:space="preserve">Mais à l’occasion de cette conférence de presse et afin de rafraichir les mémoires, </w:t>
      </w:r>
      <w:r w:rsidR="00BE1631">
        <w:t>en voici un court résumé</w:t>
      </w:r>
      <w:r>
        <w:t>.</w:t>
      </w:r>
    </w:p>
    <w:p w14:paraId="180D8094" w14:textId="77777777" w:rsidR="00E30FDD" w:rsidRDefault="00413653">
      <w:r>
        <w:t xml:space="preserve">Growing </w:t>
      </w:r>
      <w:r>
        <w:rPr>
          <w:b/>
        </w:rPr>
        <w:t>Homes </w:t>
      </w:r>
      <w:r>
        <w:t xml:space="preserve">: tout le monde a besoin d’un chez soi. </w:t>
      </w:r>
      <w:r w:rsidR="00BE1631">
        <w:t>En guise</w:t>
      </w:r>
      <w:r>
        <w:t xml:space="preserve"> de foyer pour la famille</w:t>
      </w:r>
      <w:r w:rsidR="00BE1631">
        <w:t>,</w:t>
      </w:r>
      <w:r>
        <w:t xml:space="preserve"> </w:t>
      </w:r>
      <w:r w:rsidR="00BE1631">
        <w:t>d</w:t>
      </w:r>
      <w:r>
        <w:t>e lieu de détente à l’issue d’une longue journée de travail</w:t>
      </w:r>
      <w:r w:rsidR="00BE1631">
        <w:t xml:space="preserve">, d’environnement où accueillir les amis et les proches ou </w:t>
      </w:r>
      <w:r w:rsidR="00E30FDD">
        <w:t xml:space="preserve">de refuge réconfortant après une grande nouvelle. Et même à la fin de vacances tant attendues, </w:t>
      </w:r>
      <w:r w:rsidR="00BE1631">
        <w:t>nous nous réjouissons tous d</w:t>
      </w:r>
      <w:r w:rsidR="00E30FDD">
        <w:t xml:space="preserve">e retrouver la douce familiarité de </w:t>
      </w:r>
      <w:r w:rsidR="00BE1631">
        <w:t>notre</w:t>
      </w:r>
      <w:r w:rsidR="00E30FDD">
        <w:t xml:space="preserve"> nid.</w:t>
      </w:r>
      <w:r w:rsidR="0078453D">
        <w:br/>
      </w:r>
      <w:r w:rsidR="00E30FDD">
        <w:t xml:space="preserve">La création de ce sentiment de « chez soi » et de convivialité sert de point de départ à tout fabricant de meubles. </w:t>
      </w:r>
      <w:r w:rsidR="00BE1631">
        <w:t>Et a</w:t>
      </w:r>
      <w:r w:rsidR="00E30FDD">
        <w:t xml:space="preserve">u </w:t>
      </w:r>
      <w:r w:rsidR="00BE1631">
        <w:t>S</w:t>
      </w:r>
      <w:r w:rsidR="00E30FDD">
        <w:t>alon aussi, la convivialité et un accueil chaleureux font partie des priorités de l’organisation.</w:t>
      </w:r>
    </w:p>
    <w:p w14:paraId="590A7E8A" w14:textId="77777777" w:rsidR="00E30FDD" w:rsidRDefault="00E30FDD">
      <w:r>
        <w:rPr>
          <w:b/>
        </w:rPr>
        <w:t>Growing</w:t>
      </w:r>
      <w:r>
        <w:t xml:space="preserve"> Homes : ces dernières années, nous avons ardemment travaillé à la construction d’une base solide. </w:t>
      </w:r>
      <w:r w:rsidR="00BE1631">
        <w:t>C</w:t>
      </w:r>
      <w:r>
        <w:t xml:space="preserve">es fondations </w:t>
      </w:r>
      <w:r w:rsidR="00BE1631">
        <w:t xml:space="preserve">sont </w:t>
      </w:r>
      <w:r>
        <w:t>nécessaires pour garantir la fiabilité</w:t>
      </w:r>
      <w:r w:rsidR="00047428">
        <w:t xml:space="preserve"> et la continuité requises à nos exposants et à notre public</w:t>
      </w:r>
      <w:r w:rsidR="004E42DB">
        <w:t xml:space="preserve">. Mais comme explicitement souligné par notre campagne de 2023 </w:t>
      </w:r>
      <w:r w:rsidR="00BE1631">
        <w:t>« </w:t>
      </w:r>
      <w:r w:rsidR="004E42DB">
        <w:t xml:space="preserve">The Future is </w:t>
      </w:r>
      <w:proofErr w:type="spellStart"/>
      <w:r w:rsidR="004E42DB">
        <w:t>FurNature</w:t>
      </w:r>
      <w:proofErr w:type="spellEnd"/>
      <w:r w:rsidR="00BE1631">
        <w:t> »</w:t>
      </w:r>
      <w:r w:rsidR="004E42DB">
        <w:t>, nous gardons le regard tourné vers l’avant et vers de nouveaux développements. L</w:t>
      </w:r>
      <w:r w:rsidR="00BE1631">
        <w:t>a</w:t>
      </w:r>
      <w:r w:rsidR="004E42DB">
        <w:t xml:space="preserve"> notion de croissance (« </w:t>
      </w:r>
      <w:proofErr w:type="spellStart"/>
      <w:r w:rsidR="004E42DB">
        <w:t>grow</w:t>
      </w:r>
      <w:proofErr w:type="spellEnd"/>
      <w:r w:rsidR="004E42DB">
        <w:t xml:space="preserve"> ») </w:t>
      </w:r>
      <w:r w:rsidR="00BE1631">
        <w:t xml:space="preserve">exprimée par </w:t>
      </w:r>
      <w:r w:rsidR="004E42DB">
        <w:t>le slogan de cette année ne porte pas nécessairement sur la superficie du salon ou le nombre d’exposants, mais plutôt sur une évolution saine vers un Salon du Meuble plus qualitatif, plus moderne et plus efficace.</w:t>
      </w:r>
    </w:p>
    <w:p w14:paraId="36D3B479" w14:textId="77777777" w:rsidR="00E10228" w:rsidRDefault="00E10228">
      <w:pPr>
        <w:rPr>
          <w:b/>
        </w:rPr>
      </w:pPr>
    </w:p>
    <w:p w14:paraId="323B2D40" w14:textId="77777777" w:rsidR="00E10228" w:rsidRDefault="00E10228">
      <w:pPr>
        <w:rPr>
          <w:b/>
        </w:rPr>
      </w:pPr>
    </w:p>
    <w:p w14:paraId="02A546A2" w14:textId="72BF5C0C" w:rsidR="004E42DB" w:rsidRPr="0078453D" w:rsidRDefault="004E42DB">
      <w:pPr>
        <w:rPr>
          <w:b/>
        </w:rPr>
      </w:pPr>
      <w:r w:rsidRPr="0078453D">
        <w:rPr>
          <w:b/>
        </w:rPr>
        <w:lastRenderedPageBreak/>
        <w:t xml:space="preserve">Alors… </w:t>
      </w:r>
      <w:r w:rsidR="00BE1631" w:rsidRPr="0078453D">
        <w:rPr>
          <w:b/>
        </w:rPr>
        <w:t>quoi de neuf</w:t>
      </w:r>
      <w:r w:rsidRPr="0078453D">
        <w:rPr>
          <w:b/>
        </w:rPr>
        <w:t> ?</w:t>
      </w:r>
    </w:p>
    <w:p w14:paraId="199367CE" w14:textId="77777777" w:rsidR="004E42DB" w:rsidRDefault="004E42DB">
      <w:r>
        <w:t>Afin d’atteindre cet objectif, nous continuons de travailler sur ce qui rend le Salon de Bruxelles si unique (</w:t>
      </w:r>
      <w:r w:rsidR="00BE1631">
        <w:t>s</w:t>
      </w:r>
      <w:r>
        <w:t xml:space="preserve">a convivialité, l’atmosphère dans laquelle sont plongés les palais, les animations…), en y ajoutant bien évidemment quelques nouveautés. Le tout avec comme fil rouge de continuer à choyer nos visiteurs et </w:t>
      </w:r>
      <w:r w:rsidR="0078453D">
        <w:t xml:space="preserve">à </w:t>
      </w:r>
      <w:r>
        <w:t>attiser leur intérêt</w:t>
      </w:r>
      <w:r w:rsidR="00EA63EA">
        <w:t>.</w:t>
      </w:r>
    </w:p>
    <w:p w14:paraId="47021118" w14:textId="77777777" w:rsidR="00EA63EA" w:rsidRPr="0078453D" w:rsidRDefault="00EA63EA">
      <w:pPr>
        <w:rPr>
          <w:b/>
        </w:rPr>
      </w:pPr>
      <w:proofErr w:type="spellStart"/>
      <w:r w:rsidRPr="0078453D">
        <w:rPr>
          <w:b/>
        </w:rPr>
        <w:t>Belgian</w:t>
      </w:r>
      <w:proofErr w:type="spellEnd"/>
      <w:r w:rsidRPr="0078453D">
        <w:rPr>
          <w:b/>
        </w:rPr>
        <w:t xml:space="preserve"> Design Island</w:t>
      </w:r>
    </w:p>
    <w:p w14:paraId="3556AC99" w14:textId="29C3AA42" w:rsidR="00EA63EA" w:rsidRDefault="00EA63EA">
      <w:r>
        <w:t xml:space="preserve">Commençons par la </w:t>
      </w:r>
      <w:proofErr w:type="spellStart"/>
      <w:r>
        <w:t>Belgian</w:t>
      </w:r>
      <w:proofErr w:type="spellEnd"/>
      <w:r>
        <w:t xml:space="preserve"> Design Island</w:t>
      </w:r>
      <w:r w:rsidR="00B42501">
        <w:t xml:space="preserve"> </w:t>
      </w:r>
      <w:r w:rsidR="0078453D">
        <w:t>—</w:t>
      </w:r>
      <w:r w:rsidR="00B42501">
        <w:t xml:space="preserve"> </w:t>
      </w:r>
      <w:r w:rsidR="00B42501" w:rsidRPr="005879FF">
        <w:t xml:space="preserve">ou BDI, qui </w:t>
      </w:r>
      <w:r w:rsidRPr="005879FF">
        <w:t>nous ramène aux origines de la création de notre Salon</w:t>
      </w:r>
      <w:r w:rsidR="00252C9E">
        <w:t xml:space="preserve"> en 1937</w:t>
      </w:r>
      <w:r w:rsidR="00BE1631" w:rsidRPr="005879FF">
        <w:t xml:space="preserve"> </w:t>
      </w:r>
      <w:r w:rsidR="0078453D" w:rsidRPr="005879FF">
        <w:t>—</w:t>
      </w:r>
      <w:r w:rsidRPr="005879FF">
        <w:t xml:space="preserve"> </w:t>
      </w:r>
      <w:r w:rsidR="00BE1631" w:rsidRPr="005879FF">
        <w:t>alors baptisé « </w:t>
      </w:r>
      <w:r w:rsidRPr="005879FF">
        <w:t xml:space="preserve">Foire nationale </w:t>
      </w:r>
      <w:r w:rsidR="005879FF" w:rsidRPr="005879FF">
        <w:t>des fabricants de</w:t>
      </w:r>
      <w:r w:rsidRPr="005879FF">
        <w:t xml:space="preserve"> </w:t>
      </w:r>
      <w:r w:rsidR="005879FF" w:rsidRPr="005879FF">
        <w:t>M</w:t>
      </w:r>
      <w:r w:rsidRPr="005879FF">
        <w:t>euble</w:t>
      </w:r>
      <w:r w:rsidR="005879FF">
        <w:t>s</w:t>
      </w:r>
      <w:r w:rsidR="00BE1631" w:rsidRPr="005879FF">
        <w:t xml:space="preserve"> » - avec comme </w:t>
      </w:r>
      <w:r w:rsidRPr="005879FF">
        <w:t>objectif de soutenir au mieux le secteur du meuble belge.</w:t>
      </w:r>
    </w:p>
    <w:p w14:paraId="59282C1E" w14:textId="77777777" w:rsidR="00EA63EA" w:rsidRDefault="00EA63EA">
      <w:r>
        <w:t xml:space="preserve">Avec la </w:t>
      </w:r>
      <w:proofErr w:type="spellStart"/>
      <w:r>
        <w:t>Belgian</w:t>
      </w:r>
      <w:proofErr w:type="spellEnd"/>
      <w:r>
        <w:t xml:space="preserve"> Design Island, nous voulons à nouveau braquer les projecteurs sur les créateurs et le design belges, mondialement réputés pour la qualité de leur savoir-faire. Les visiteurs y trouveront une plateforme originale consacrée aux objets de design et de déco, du meuble à l’éclairage, en passant par les textiles et les tapis.</w:t>
      </w:r>
    </w:p>
    <w:p w14:paraId="75316020" w14:textId="77777777" w:rsidR="00EA63EA" w:rsidRDefault="00EA63EA">
      <w:r>
        <w:t>Un tel concept mérite un cadre à sa hauteur : nous nous sommes employés</w:t>
      </w:r>
      <w:r w:rsidR="00B42501">
        <w:t xml:space="preserve"> à offrir une expérience complète aux visiteurs, intégrant également les aspects du concept de « Magasin de demain ». Un passage obligé pour quiconque veut s’assurer d’avoir goûté à la spécificité de cette édition 2024.</w:t>
      </w:r>
    </w:p>
    <w:p w14:paraId="024194AE" w14:textId="77777777" w:rsidR="00B42501" w:rsidRDefault="00B42501">
      <w:r>
        <w:t>Parallèlement, la BDI répond également à notre ambition d’attirer et de soutenir un plus large public au sein du marché privé et des projets.</w:t>
      </w:r>
    </w:p>
    <w:p w14:paraId="28F17DCD" w14:textId="77777777" w:rsidR="00B42501" w:rsidRPr="0078453D" w:rsidRDefault="00B42501">
      <w:pPr>
        <w:rPr>
          <w:b/>
        </w:rPr>
      </w:pPr>
      <w:proofErr w:type="spellStart"/>
      <w:r w:rsidRPr="0078453D">
        <w:rPr>
          <w:b/>
        </w:rPr>
        <w:t>Belgian</w:t>
      </w:r>
      <w:proofErr w:type="spellEnd"/>
      <w:r w:rsidRPr="0078453D">
        <w:rPr>
          <w:b/>
        </w:rPr>
        <w:t xml:space="preserve"> </w:t>
      </w:r>
      <w:proofErr w:type="spellStart"/>
      <w:r w:rsidRPr="0078453D">
        <w:rPr>
          <w:b/>
        </w:rPr>
        <w:t>Outdoor</w:t>
      </w:r>
      <w:proofErr w:type="spellEnd"/>
    </w:p>
    <w:p w14:paraId="5373E9DB" w14:textId="77777777" w:rsidR="00B42501" w:rsidRDefault="00B42501">
      <w:r>
        <w:t xml:space="preserve">Autre nouveauté de cette année : la plateforme </w:t>
      </w:r>
      <w:proofErr w:type="spellStart"/>
      <w:r>
        <w:t>Belgian</w:t>
      </w:r>
      <w:proofErr w:type="spellEnd"/>
      <w:r>
        <w:t xml:space="preserve"> </w:t>
      </w:r>
      <w:proofErr w:type="spellStart"/>
      <w:r>
        <w:t>Outdoor</w:t>
      </w:r>
      <w:proofErr w:type="spellEnd"/>
      <w:r>
        <w:t xml:space="preserve">. Ce n’est un secret pour personne : cela fait quelque temps que nous souhaitions intégrer le mobilier d’extérieur à notre offre. Cette année, nous entamons donc une première étape ciblée, similaire à ce que nous avions fait en 2022 dans le </w:t>
      </w:r>
      <w:r w:rsidR="0078453D">
        <w:t>segment</w:t>
      </w:r>
      <w:r>
        <w:t xml:space="preserve"> Brussels by Night. Nous introduisons un stand consacré à l’</w:t>
      </w:r>
      <w:proofErr w:type="spellStart"/>
      <w:r>
        <w:t>outdoor</w:t>
      </w:r>
      <w:proofErr w:type="spellEnd"/>
      <w:r>
        <w:t xml:space="preserve"> illustrant différentes marques. </w:t>
      </w:r>
      <w:r w:rsidR="00B8691B">
        <w:t>Un premier pas mûrement réfléchi vers la suite…</w:t>
      </w:r>
    </w:p>
    <w:p w14:paraId="20DF52DF" w14:textId="77777777" w:rsidR="00B8691B" w:rsidRPr="0078453D" w:rsidRDefault="00B8691B">
      <w:pPr>
        <w:rPr>
          <w:b/>
        </w:rPr>
      </w:pPr>
      <w:r w:rsidRPr="0078453D">
        <w:rPr>
          <w:b/>
        </w:rPr>
        <w:t>Brussels by Night</w:t>
      </w:r>
    </w:p>
    <w:p w14:paraId="327B0676" w14:textId="77777777" w:rsidR="00B8691B" w:rsidRDefault="00B8691B">
      <w:r w:rsidRPr="00B8691B">
        <w:t>S</w:t>
      </w:r>
      <w:r>
        <w:t xml:space="preserve">i le segment n’est pas neuf, il réserve à nouveau de nombreuses nouveautés ! La tendance se poursuit : après notre investissement ciblé de 2022, le palais dédié au confort du sommeil continue de gagner en qualité. 90 % de la surface occupée en 2023 retrouve ses mêmes exposants (signe de continuité), tandis que les mètres carrés restants font un bond qualitatif avec de nouveaux noms tels que </w:t>
      </w:r>
      <w:proofErr w:type="spellStart"/>
      <w:r>
        <w:t>Luxury</w:t>
      </w:r>
      <w:proofErr w:type="spellEnd"/>
      <w:r>
        <w:t xml:space="preserve"> </w:t>
      </w:r>
      <w:proofErr w:type="spellStart"/>
      <w:r>
        <w:t>Bedding</w:t>
      </w:r>
      <w:proofErr w:type="spellEnd"/>
      <w:r>
        <w:t xml:space="preserve"> </w:t>
      </w:r>
      <w:proofErr w:type="spellStart"/>
      <w:r>
        <w:t>Company</w:t>
      </w:r>
      <w:proofErr w:type="spellEnd"/>
      <w:r>
        <w:t xml:space="preserve">, </w:t>
      </w:r>
      <w:proofErr w:type="spellStart"/>
      <w:r>
        <w:t>Adova</w:t>
      </w:r>
      <w:proofErr w:type="spellEnd"/>
      <w:r>
        <w:t xml:space="preserve"> Group, </w:t>
      </w:r>
      <w:proofErr w:type="spellStart"/>
      <w:r>
        <w:t>Gomarci</w:t>
      </w:r>
      <w:proofErr w:type="spellEnd"/>
      <w:r>
        <w:t xml:space="preserve"> et </w:t>
      </w:r>
      <w:proofErr w:type="spellStart"/>
      <w:r>
        <w:t>Rogaswisstech</w:t>
      </w:r>
      <w:proofErr w:type="spellEnd"/>
      <w:r>
        <w:t>. Encore une belle internationalisation de l’offre !</w:t>
      </w:r>
    </w:p>
    <w:p w14:paraId="6790639D" w14:textId="77777777" w:rsidR="00E10228" w:rsidRDefault="00E10228"/>
    <w:p w14:paraId="2969B7E1" w14:textId="77777777" w:rsidR="00E10228" w:rsidRDefault="00E10228"/>
    <w:p w14:paraId="7D591F50" w14:textId="77777777" w:rsidR="00E10228" w:rsidRDefault="00E10228"/>
    <w:p w14:paraId="01CBB47D" w14:textId="77777777" w:rsidR="00E10228" w:rsidRDefault="00E10228"/>
    <w:tbl>
      <w:tblPr>
        <w:tblW w:w="4560" w:type="dxa"/>
        <w:jc w:val="center"/>
        <w:tblCellMar>
          <w:left w:w="70" w:type="dxa"/>
          <w:right w:w="70" w:type="dxa"/>
        </w:tblCellMar>
        <w:tblLook w:val="04A0" w:firstRow="1" w:lastRow="0" w:firstColumn="1" w:lastColumn="0" w:noHBand="0" w:noVBand="1"/>
      </w:tblPr>
      <w:tblGrid>
        <w:gridCol w:w="1937"/>
        <w:gridCol w:w="2623"/>
      </w:tblGrid>
      <w:tr w:rsidR="00B8691B" w:rsidRPr="00C56D1C" w14:paraId="6A41D448" w14:textId="77777777" w:rsidTr="008120EA">
        <w:trPr>
          <w:trHeight w:val="315"/>
          <w:jc w:val="center"/>
        </w:trPr>
        <w:tc>
          <w:tcPr>
            <w:tcW w:w="45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4B3A15A" w14:textId="77777777" w:rsidR="00B8691B" w:rsidRPr="00C56D1C" w:rsidRDefault="00B8691B" w:rsidP="008120EA">
            <w:pPr>
              <w:spacing w:after="0" w:line="240" w:lineRule="auto"/>
              <w:jc w:val="center"/>
              <w:rPr>
                <w:rFonts w:ascii="Aptos Narrow" w:eastAsia="Times New Roman" w:hAnsi="Aptos Narrow" w:cs="Times New Roman"/>
                <w:b/>
                <w:bCs/>
                <w:color w:val="000000"/>
                <w:lang w:eastAsia="fr-BE"/>
              </w:rPr>
            </w:pPr>
            <w:r w:rsidRPr="00C56D1C">
              <w:rPr>
                <w:rFonts w:ascii="Aptos Narrow" w:eastAsia="Times New Roman" w:hAnsi="Aptos Narrow" w:cs="Times New Roman"/>
                <w:b/>
                <w:bCs/>
                <w:color w:val="000000"/>
                <w:lang w:eastAsia="fr-BE"/>
              </w:rPr>
              <w:lastRenderedPageBreak/>
              <w:t>2024 - Brussels by Night</w:t>
            </w:r>
          </w:p>
        </w:tc>
      </w:tr>
      <w:tr w:rsidR="00B8691B" w:rsidRPr="00C56D1C" w14:paraId="3D9F8761" w14:textId="77777777" w:rsidTr="008120EA">
        <w:trPr>
          <w:trHeight w:val="300"/>
          <w:jc w:val="center"/>
        </w:trPr>
        <w:tc>
          <w:tcPr>
            <w:tcW w:w="1937" w:type="dxa"/>
            <w:tcBorders>
              <w:top w:val="nil"/>
              <w:left w:val="single" w:sz="4" w:space="0" w:color="auto"/>
              <w:bottom w:val="single" w:sz="4" w:space="0" w:color="auto"/>
              <w:right w:val="single" w:sz="4" w:space="0" w:color="auto"/>
            </w:tcBorders>
            <w:shd w:val="clear" w:color="auto" w:fill="auto"/>
            <w:noWrap/>
            <w:vAlign w:val="center"/>
            <w:hideMark/>
          </w:tcPr>
          <w:p w14:paraId="7A79BF25" w14:textId="77777777" w:rsidR="00B8691B" w:rsidRPr="00C56D1C" w:rsidRDefault="00B8691B" w:rsidP="00B8691B">
            <w:pPr>
              <w:spacing w:after="0" w:line="240" w:lineRule="auto"/>
              <w:jc w:val="center"/>
              <w:rPr>
                <w:rFonts w:ascii="Aptos Narrow" w:eastAsia="Times New Roman" w:hAnsi="Aptos Narrow" w:cs="Times New Roman"/>
                <w:i/>
                <w:iCs/>
                <w:color w:val="000000"/>
                <w:lang w:eastAsia="fr-BE"/>
              </w:rPr>
            </w:pPr>
            <w:r>
              <w:rPr>
                <w:rFonts w:ascii="Aptos Narrow" w:eastAsia="Times New Roman" w:hAnsi="Aptos Narrow" w:cs="Times New Roman"/>
                <w:i/>
                <w:iCs/>
                <w:color w:val="000000"/>
                <w:lang w:eastAsia="fr-BE"/>
              </w:rPr>
              <w:t>Pays</w:t>
            </w:r>
          </w:p>
        </w:tc>
        <w:tc>
          <w:tcPr>
            <w:tcW w:w="2623" w:type="dxa"/>
            <w:tcBorders>
              <w:top w:val="nil"/>
              <w:left w:val="nil"/>
              <w:bottom w:val="single" w:sz="4" w:space="0" w:color="auto"/>
              <w:right w:val="single" w:sz="4" w:space="0" w:color="auto"/>
            </w:tcBorders>
            <w:shd w:val="clear" w:color="auto" w:fill="auto"/>
            <w:noWrap/>
            <w:vAlign w:val="center"/>
            <w:hideMark/>
          </w:tcPr>
          <w:p w14:paraId="2BA6EB59" w14:textId="77777777" w:rsidR="00B8691B" w:rsidRPr="00C56D1C" w:rsidRDefault="00B8691B" w:rsidP="008120EA">
            <w:pPr>
              <w:spacing w:after="0" w:line="240" w:lineRule="auto"/>
              <w:jc w:val="center"/>
              <w:rPr>
                <w:rFonts w:ascii="Aptos Narrow" w:eastAsia="Times New Roman" w:hAnsi="Aptos Narrow" w:cs="Times New Roman"/>
                <w:i/>
                <w:iCs/>
                <w:color w:val="000000"/>
                <w:lang w:eastAsia="fr-BE"/>
              </w:rPr>
            </w:pPr>
            <w:r w:rsidRPr="00C56D1C">
              <w:rPr>
                <w:rFonts w:ascii="Aptos Narrow" w:eastAsia="Times New Roman" w:hAnsi="Aptos Narrow" w:cs="Times New Roman"/>
                <w:i/>
                <w:iCs/>
                <w:color w:val="000000"/>
                <w:lang w:eastAsia="fr-BE"/>
              </w:rPr>
              <w:t xml:space="preserve"># </w:t>
            </w:r>
            <w:r>
              <w:rPr>
                <w:rFonts w:ascii="Aptos Narrow" w:eastAsia="Times New Roman" w:hAnsi="Aptos Narrow" w:cs="Times New Roman"/>
                <w:i/>
                <w:iCs/>
                <w:color w:val="000000"/>
                <w:lang w:eastAsia="fr-BE"/>
              </w:rPr>
              <w:t>marques présentes</w:t>
            </w:r>
          </w:p>
        </w:tc>
      </w:tr>
      <w:tr w:rsidR="00B8691B" w:rsidRPr="00C56D1C" w14:paraId="6C68D25F" w14:textId="77777777" w:rsidTr="008120EA">
        <w:trPr>
          <w:trHeight w:val="300"/>
          <w:jc w:val="center"/>
        </w:trPr>
        <w:tc>
          <w:tcPr>
            <w:tcW w:w="1937" w:type="dxa"/>
            <w:tcBorders>
              <w:top w:val="nil"/>
              <w:left w:val="single" w:sz="4" w:space="0" w:color="auto"/>
              <w:bottom w:val="single" w:sz="4" w:space="0" w:color="auto"/>
              <w:right w:val="single" w:sz="4" w:space="0" w:color="auto"/>
            </w:tcBorders>
            <w:shd w:val="clear" w:color="auto" w:fill="auto"/>
            <w:noWrap/>
            <w:vAlign w:val="bottom"/>
            <w:hideMark/>
          </w:tcPr>
          <w:p w14:paraId="2C196A1C" w14:textId="77777777" w:rsidR="00B8691B" w:rsidRPr="00C56D1C" w:rsidRDefault="00B8691B" w:rsidP="008120EA">
            <w:pPr>
              <w:spacing w:after="0" w:line="240" w:lineRule="auto"/>
              <w:rPr>
                <w:rFonts w:ascii="Aptos Narrow" w:eastAsia="Times New Roman" w:hAnsi="Aptos Narrow" w:cs="Times New Roman"/>
                <w:color w:val="000000"/>
                <w:lang w:eastAsia="fr-BE"/>
              </w:rPr>
            </w:pPr>
            <w:r>
              <w:rPr>
                <w:rFonts w:ascii="Aptos Narrow" w:eastAsia="Times New Roman" w:hAnsi="Aptos Narrow" w:cs="Times New Roman"/>
                <w:color w:val="000000"/>
                <w:lang w:eastAsia="fr-BE"/>
              </w:rPr>
              <w:t>Belgique</w:t>
            </w:r>
          </w:p>
        </w:tc>
        <w:tc>
          <w:tcPr>
            <w:tcW w:w="2623" w:type="dxa"/>
            <w:tcBorders>
              <w:top w:val="nil"/>
              <w:left w:val="nil"/>
              <w:bottom w:val="single" w:sz="4" w:space="0" w:color="auto"/>
              <w:right w:val="single" w:sz="4" w:space="0" w:color="auto"/>
            </w:tcBorders>
            <w:shd w:val="clear" w:color="auto" w:fill="auto"/>
            <w:noWrap/>
            <w:vAlign w:val="bottom"/>
            <w:hideMark/>
          </w:tcPr>
          <w:p w14:paraId="66086DCA" w14:textId="77777777" w:rsidR="00B8691B" w:rsidRPr="00C56D1C" w:rsidRDefault="00B8691B" w:rsidP="008120EA">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12</w:t>
            </w:r>
          </w:p>
        </w:tc>
      </w:tr>
      <w:tr w:rsidR="00B8691B" w:rsidRPr="00C56D1C" w14:paraId="462C9359" w14:textId="77777777" w:rsidTr="008120EA">
        <w:trPr>
          <w:trHeight w:val="300"/>
          <w:jc w:val="center"/>
        </w:trPr>
        <w:tc>
          <w:tcPr>
            <w:tcW w:w="1937" w:type="dxa"/>
            <w:tcBorders>
              <w:top w:val="nil"/>
              <w:left w:val="single" w:sz="4" w:space="0" w:color="auto"/>
              <w:bottom w:val="single" w:sz="4" w:space="0" w:color="auto"/>
              <w:right w:val="single" w:sz="4" w:space="0" w:color="auto"/>
            </w:tcBorders>
            <w:shd w:val="clear" w:color="000000" w:fill="F2F2F2"/>
            <w:noWrap/>
            <w:vAlign w:val="bottom"/>
            <w:hideMark/>
          </w:tcPr>
          <w:p w14:paraId="0C5B673F" w14:textId="77777777" w:rsidR="00B8691B" w:rsidRPr="00C56D1C" w:rsidRDefault="00B8691B" w:rsidP="008120EA">
            <w:pPr>
              <w:spacing w:after="0" w:line="240" w:lineRule="auto"/>
              <w:rPr>
                <w:rFonts w:ascii="Aptos Narrow" w:eastAsia="Times New Roman" w:hAnsi="Aptos Narrow" w:cs="Times New Roman"/>
                <w:color w:val="000000"/>
                <w:lang w:eastAsia="fr-BE"/>
              </w:rPr>
            </w:pPr>
            <w:r>
              <w:rPr>
                <w:rFonts w:ascii="Aptos Narrow" w:eastAsia="Times New Roman" w:hAnsi="Aptos Narrow" w:cs="Times New Roman"/>
                <w:color w:val="000000"/>
                <w:lang w:eastAsia="fr-BE"/>
              </w:rPr>
              <w:t>Pays-Bas</w:t>
            </w:r>
          </w:p>
        </w:tc>
        <w:tc>
          <w:tcPr>
            <w:tcW w:w="2623" w:type="dxa"/>
            <w:tcBorders>
              <w:top w:val="nil"/>
              <w:left w:val="nil"/>
              <w:bottom w:val="single" w:sz="4" w:space="0" w:color="auto"/>
              <w:right w:val="single" w:sz="4" w:space="0" w:color="auto"/>
            </w:tcBorders>
            <w:shd w:val="clear" w:color="000000" w:fill="F2F2F2"/>
            <w:noWrap/>
            <w:vAlign w:val="bottom"/>
            <w:hideMark/>
          </w:tcPr>
          <w:p w14:paraId="2994A28C" w14:textId="77777777" w:rsidR="00B8691B" w:rsidRPr="00C56D1C" w:rsidRDefault="00B8691B" w:rsidP="008120EA">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10</w:t>
            </w:r>
          </w:p>
        </w:tc>
      </w:tr>
      <w:tr w:rsidR="00B8691B" w:rsidRPr="00C56D1C" w14:paraId="4B432316" w14:textId="77777777" w:rsidTr="008120EA">
        <w:trPr>
          <w:trHeight w:val="300"/>
          <w:jc w:val="center"/>
        </w:trPr>
        <w:tc>
          <w:tcPr>
            <w:tcW w:w="1937" w:type="dxa"/>
            <w:tcBorders>
              <w:top w:val="nil"/>
              <w:left w:val="single" w:sz="4" w:space="0" w:color="auto"/>
              <w:bottom w:val="single" w:sz="4" w:space="0" w:color="auto"/>
              <w:right w:val="single" w:sz="4" w:space="0" w:color="auto"/>
            </w:tcBorders>
            <w:shd w:val="clear" w:color="auto" w:fill="auto"/>
            <w:noWrap/>
            <w:vAlign w:val="bottom"/>
            <w:hideMark/>
          </w:tcPr>
          <w:p w14:paraId="371DA9E7" w14:textId="77777777" w:rsidR="00B8691B" w:rsidRPr="00C56D1C" w:rsidRDefault="00B8691B" w:rsidP="008120EA">
            <w:pPr>
              <w:spacing w:after="0" w:line="240" w:lineRule="auto"/>
              <w:rPr>
                <w:rFonts w:ascii="Aptos Narrow" w:eastAsia="Times New Roman" w:hAnsi="Aptos Narrow" w:cs="Times New Roman"/>
                <w:color w:val="000000"/>
                <w:lang w:eastAsia="fr-BE"/>
              </w:rPr>
            </w:pPr>
            <w:r>
              <w:rPr>
                <w:rFonts w:ascii="Aptos Narrow" w:eastAsia="Times New Roman" w:hAnsi="Aptos Narrow" w:cs="Times New Roman"/>
                <w:color w:val="000000"/>
                <w:lang w:eastAsia="fr-BE"/>
              </w:rPr>
              <w:t>Allemagne</w:t>
            </w:r>
          </w:p>
        </w:tc>
        <w:tc>
          <w:tcPr>
            <w:tcW w:w="2623" w:type="dxa"/>
            <w:tcBorders>
              <w:top w:val="nil"/>
              <w:left w:val="nil"/>
              <w:bottom w:val="single" w:sz="4" w:space="0" w:color="auto"/>
              <w:right w:val="single" w:sz="4" w:space="0" w:color="auto"/>
            </w:tcBorders>
            <w:shd w:val="clear" w:color="auto" w:fill="auto"/>
            <w:noWrap/>
            <w:vAlign w:val="bottom"/>
            <w:hideMark/>
          </w:tcPr>
          <w:p w14:paraId="080BE454" w14:textId="77777777" w:rsidR="00B8691B" w:rsidRPr="00C56D1C" w:rsidRDefault="00B8691B" w:rsidP="008120EA">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2</w:t>
            </w:r>
          </w:p>
        </w:tc>
      </w:tr>
      <w:tr w:rsidR="00B8691B" w:rsidRPr="00C56D1C" w14:paraId="3E8A8F59" w14:textId="77777777" w:rsidTr="008120EA">
        <w:trPr>
          <w:trHeight w:val="300"/>
          <w:jc w:val="center"/>
        </w:trPr>
        <w:tc>
          <w:tcPr>
            <w:tcW w:w="1937" w:type="dxa"/>
            <w:tcBorders>
              <w:top w:val="nil"/>
              <w:left w:val="single" w:sz="4" w:space="0" w:color="auto"/>
              <w:bottom w:val="single" w:sz="4" w:space="0" w:color="auto"/>
              <w:right w:val="single" w:sz="4" w:space="0" w:color="auto"/>
            </w:tcBorders>
            <w:shd w:val="clear" w:color="000000" w:fill="F2F2F2"/>
            <w:noWrap/>
            <w:vAlign w:val="bottom"/>
            <w:hideMark/>
          </w:tcPr>
          <w:p w14:paraId="69A5E226" w14:textId="77777777" w:rsidR="00B8691B" w:rsidRPr="00C56D1C" w:rsidRDefault="00B8691B" w:rsidP="008120EA">
            <w:pPr>
              <w:spacing w:after="0" w:line="240" w:lineRule="auto"/>
              <w:rPr>
                <w:rFonts w:ascii="Aptos Narrow" w:eastAsia="Times New Roman" w:hAnsi="Aptos Narrow" w:cs="Times New Roman"/>
                <w:color w:val="000000"/>
                <w:lang w:eastAsia="fr-BE"/>
              </w:rPr>
            </w:pPr>
            <w:r>
              <w:rPr>
                <w:rFonts w:ascii="Aptos Narrow" w:eastAsia="Times New Roman" w:hAnsi="Aptos Narrow" w:cs="Times New Roman"/>
                <w:color w:val="000000"/>
                <w:lang w:eastAsia="fr-BE"/>
              </w:rPr>
              <w:t>France</w:t>
            </w:r>
          </w:p>
        </w:tc>
        <w:tc>
          <w:tcPr>
            <w:tcW w:w="2623" w:type="dxa"/>
            <w:tcBorders>
              <w:top w:val="nil"/>
              <w:left w:val="nil"/>
              <w:bottom w:val="single" w:sz="4" w:space="0" w:color="auto"/>
              <w:right w:val="single" w:sz="4" w:space="0" w:color="auto"/>
            </w:tcBorders>
            <w:shd w:val="clear" w:color="000000" w:fill="F2F2F2"/>
            <w:noWrap/>
            <w:vAlign w:val="bottom"/>
            <w:hideMark/>
          </w:tcPr>
          <w:p w14:paraId="1BE1BFDF" w14:textId="77777777" w:rsidR="00B8691B" w:rsidRPr="00C56D1C" w:rsidRDefault="00B8691B" w:rsidP="008120EA">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2</w:t>
            </w:r>
          </w:p>
        </w:tc>
      </w:tr>
      <w:tr w:rsidR="00B8691B" w:rsidRPr="00C56D1C" w14:paraId="3C38608E" w14:textId="77777777" w:rsidTr="008120EA">
        <w:trPr>
          <w:trHeight w:val="300"/>
          <w:jc w:val="center"/>
        </w:trPr>
        <w:tc>
          <w:tcPr>
            <w:tcW w:w="1937" w:type="dxa"/>
            <w:tcBorders>
              <w:top w:val="nil"/>
              <w:left w:val="single" w:sz="4" w:space="0" w:color="auto"/>
              <w:bottom w:val="single" w:sz="4" w:space="0" w:color="auto"/>
              <w:right w:val="single" w:sz="4" w:space="0" w:color="auto"/>
            </w:tcBorders>
            <w:shd w:val="clear" w:color="auto" w:fill="auto"/>
            <w:noWrap/>
            <w:vAlign w:val="bottom"/>
            <w:hideMark/>
          </w:tcPr>
          <w:p w14:paraId="64AA3228" w14:textId="77777777" w:rsidR="00B8691B" w:rsidRPr="00C56D1C" w:rsidRDefault="00B8691B" w:rsidP="008120EA">
            <w:pPr>
              <w:spacing w:after="0" w:line="240" w:lineRule="auto"/>
              <w:rPr>
                <w:rFonts w:ascii="Aptos Narrow" w:eastAsia="Times New Roman" w:hAnsi="Aptos Narrow" w:cs="Times New Roman"/>
                <w:color w:val="000000"/>
                <w:lang w:eastAsia="fr-BE"/>
              </w:rPr>
            </w:pPr>
            <w:r>
              <w:rPr>
                <w:rFonts w:ascii="Aptos Narrow" w:eastAsia="Times New Roman" w:hAnsi="Aptos Narrow" w:cs="Times New Roman"/>
                <w:color w:val="000000"/>
                <w:lang w:eastAsia="fr-BE"/>
              </w:rPr>
              <w:t>Hongrie</w:t>
            </w:r>
          </w:p>
        </w:tc>
        <w:tc>
          <w:tcPr>
            <w:tcW w:w="2623" w:type="dxa"/>
            <w:tcBorders>
              <w:top w:val="nil"/>
              <w:left w:val="nil"/>
              <w:bottom w:val="single" w:sz="4" w:space="0" w:color="auto"/>
              <w:right w:val="single" w:sz="4" w:space="0" w:color="auto"/>
            </w:tcBorders>
            <w:shd w:val="clear" w:color="auto" w:fill="auto"/>
            <w:noWrap/>
            <w:vAlign w:val="bottom"/>
            <w:hideMark/>
          </w:tcPr>
          <w:p w14:paraId="705306CA" w14:textId="77777777" w:rsidR="00B8691B" w:rsidRPr="00C56D1C" w:rsidRDefault="00B8691B" w:rsidP="008120EA">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1</w:t>
            </w:r>
          </w:p>
        </w:tc>
      </w:tr>
      <w:tr w:rsidR="00B8691B" w:rsidRPr="00C56D1C" w14:paraId="12C583EC" w14:textId="77777777" w:rsidTr="008120EA">
        <w:trPr>
          <w:trHeight w:val="300"/>
          <w:jc w:val="center"/>
        </w:trPr>
        <w:tc>
          <w:tcPr>
            <w:tcW w:w="1937" w:type="dxa"/>
            <w:tcBorders>
              <w:top w:val="nil"/>
              <w:left w:val="single" w:sz="4" w:space="0" w:color="auto"/>
              <w:bottom w:val="single" w:sz="4" w:space="0" w:color="auto"/>
              <w:right w:val="single" w:sz="4" w:space="0" w:color="auto"/>
            </w:tcBorders>
            <w:shd w:val="clear" w:color="000000" w:fill="F2F2F2"/>
            <w:noWrap/>
            <w:vAlign w:val="bottom"/>
            <w:hideMark/>
          </w:tcPr>
          <w:p w14:paraId="59DCF416" w14:textId="77777777" w:rsidR="00B8691B" w:rsidRPr="00C56D1C" w:rsidRDefault="00B8691B" w:rsidP="008120EA">
            <w:pPr>
              <w:spacing w:after="0" w:line="240" w:lineRule="auto"/>
              <w:rPr>
                <w:rFonts w:ascii="Aptos Narrow" w:eastAsia="Times New Roman" w:hAnsi="Aptos Narrow" w:cs="Times New Roman"/>
                <w:color w:val="000000"/>
                <w:lang w:eastAsia="fr-BE"/>
              </w:rPr>
            </w:pPr>
            <w:r>
              <w:rPr>
                <w:rFonts w:ascii="Aptos Narrow" w:eastAsia="Times New Roman" w:hAnsi="Aptos Narrow" w:cs="Times New Roman"/>
                <w:color w:val="000000"/>
                <w:lang w:eastAsia="fr-BE"/>
              </w:rPr>
              <w:t>Lituanie</w:t>
            </w:r>
          </w:p>
        </w:tc>
        <w:tc>
          <w:tcPr>
            <w:tcW w:w="2623" w:type="dxa"/>
            <w:tcBorders>
              <w:top w:val="nil"/>
              <w:left w:val="nil"/>
              <w:bottom w:val="single" w:sz="4" w:space="0" w:color="auto"/>
              <w:right w:val="single" w:sz="4" w:space="0" w:color="auto"/>
            </w:tcBorders>
            <w:shd w:val="clear" w:color="000000" w:fill="F2F2F2"/>
            <w:noWrap/>
            <w:vAlign w:val="bottom"/>
            <w:hideMark/>
          </w:tcPr>
          <w:p w14:paraId="0C8CDB4B" w14:textId="77777777" w:rsidR="00B8691B" w:rsidRPr="00C56D1C" w:rsidRDefault="00B8691B" w:rsidP="008120EA">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1</w:t>
            </w:r>
          </w:p>
        </w:tc>
      </w:tr>
      <w:tr w:rsidR="00B8691B" w:rsidRPr="00C56D1C" w14:paraId="29FDCD92" w14:textId="77777777" w:rsidTr="008120EA">
        <w:trPr>
          <w:trHeight w:val="300"/>
          <w:jc w:val="center"/>
        </w:trPr>
        <w:tc>
          <w:tcPr>
            <w:tcW w:w="1937" w:type="dxa"/>
            <w:tcBorders>
              <w:top w:val="nil"/>
              <w:left w:val="single" w:sz="4" w:space="0" w:color="auto"/>
              <w:bottom w:val="single" w:sz="4" w:space="0" w:color="auto"/>
              <w:right w:val="single" w:sz="4" w:space="0" w:color="auto"/>
            </w:tcBorders>
            <w:shd w:val="clear" w:color="auto" w:fill="auto"/>
            <w:noWrap/>
            <w:vAlign w:val="bottom"/>
            <w:hideMark/>
          </w:tcPr>
          <w:p w14:paraId="3E62A6A3" w14:textId="77777777" w:rsidR="00B8691B" w:rsidRPr="00C56D1C" w:rsidRDefault="00B8691B" w:rsidP="008120EA">
            <w:pPr>
              <w:spacing w:after="0" w:line="240" w:lineRule="auto"/>
              <w:rPr>
                <w:rFonts w:ascii="Aptos Narrow" w:eastAsia="Times New Roman" w:hAnsi="Aptos Narrow" w:cs="Times New Roman"/>
                <w:color w:val="000000"/>
                <w:lang w:eastAsia="fr-BE"/>
              </w:rPr>
            </w:pPr>
            <w:r>
              <w:rPr>
                <w:rFonts w:ascii="Aptos Narrow" w:eastAsia="Times New Roman" w:hAnsi="Aptos Narrow" w:cs="Times New Roman"/>
                <w:color w:val="000000"/>
                <w:lang w:eastAsia="fr-BE"/>
              </w:rPr>
              <w:t>Espagne</w:t>
            </w:r>
          </w:p>
        </w:tc>
        <w:tc>
          <w:tcPr>
            <w:tcW w:w="2623" w:type="dxa"/>
            <w:tcBorders>
              <w:top w:val="nil"/>
              <w:left w:val="nil"/>
              <w:bottom w:val="single" w:sz="4" w:space="0" w:color="auto"/>
              <w:right w:val="single" w:sz="4" w:space="0" w:color="auto"/>
            </w:tcBorders>
            <w:shd w:val="clear" w:color="auto" w:fill="auto"/>
            <w:noWrap/>
            <w:vAlign w:val="bottom"/>
            <w:hideMark/>
          </w:tcPr>
          <w:p w14:paraId="699F9401" w14:textId="77777777" w:rsidR="00B8691B" w:rsidRPr="00C56D1C" w:rsidRDefault="00B8691B" w:rsidP="008120EA">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1</w:t>
            </w:r>
          </w:p>
        </w:tc>
      </w:tr>
      <w:tr w:rsidR="00B8691B" w:rsidRPr="00C56D1C" w14:paraId="2C89D9F7" w14:textId="77777777" w:rsidTr="008120EA">
        <w:trPr>
          <w:trHeight w:val="300"/>
          <w:jc w:val="center"/>
        </w:trPr>
        <w:tc>
          <w:tcPr>
            <w:tcW w:w="1937" w:type="dxa"/>
            <w:tcBorders>
              <w:top w:val="nil"/>
              <w:left w:val="single" w:sz="4" w:space="0" w:color="auto"/>
              <w:bottom w:val="single" w:sz="4" w:space="0" w:color="auto"/>
              <w:right w:val="single" w:sz="4" w:space="0" w:color="auto"/>
            </w:tcBorders>
            <w:shd w:val="clear" w:color="000000" w:fill="F2F2F2"/>
            <w:noWrap/>
            <w:vAlign w:val="bottom"/>
            <w:hideMark/>
          </w:tcPr>
          <w:p w14:paraId="08C42067" w14:textId="77777777" w:rsidR="00B8691B" w:rsidRPr="00C56D1C" w:rsidRDefault="00B8691B" w:rsidP="008120EA">
            <w:pPr>
              <w:spacing w:after="0" w:line="240" w:lineRule="auto"/>
              <w:rPr>
                <w:rFonts w:ascii="Aptos Narrow" w:eastAsia="Times New Roman" w:hAnsi="Aptos Narrow" w:cs="Times New Roman"/>
                <w:color w:val="000000"/>
                <w:lang w:eastAsia="fr-BE"/>
              </w:rPr>
            </w:pPr>
            <w:r>
              <w:rPr>
                <w:rFonts w:ascii="Aptos Narrow" w:eastAsia="Times New Roman" w:hAnsi="Aptos Narrow" w:cs="Times New Roman"/>
                <w:color w:val="000000"/>
                <w:lang w:eastAsia="fr-BE"/>
              </w:rPr>
              <w:t>Royaume-Uni</w:t>
            </w:r>
          </w:p>
        </w:tc>
        <w:tc>
          <w:tcPr>
            <w:tcW w:w="2623" w:type="dxa"/>
            <w:tcBorders>
              <w:top w:val="nil"/>
              <w:left w:val="nil"/>
              <w:bottom w:val="single" w:sz="4" w:space="0" w:color="auto"/>
              <w:right w:val="single" w:sz="4" w:space="0" w:color="auto"/>
            </w:tcBorders>
            <w:shd w:val="clear" w:color="000000" w:fill="F2F2F2"/>
            <w:noWrap/>
            <w:vAlign w:val="bottom"/>
            <w:hideMark/>
          </w:tcPr>
          <w:p w14:paraId="671BB208" w14:textId="77777777" w:rsidR="00B8691B" w:rsidRPr="00C56D1C" w:rsidRDefault="00B8691B" w:rsidP="008120EA">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1</w:t>
            </w:r>
          </w:p>
        </w:tc>
      </w:tr>
    </w:tbl>
    <w:p w14:paraId="3F7B9247" w14:textId="77777777" w:rsidR="00B8691B" w:rsidRDefault="00B8691B"/>
    <w:p w14:paraId="6D2B44A1" w14:textId="77777777" w:rsidR="00B8691B" w:rsidRPr="0078453D" w:rsidRDefault="00B8691B" w:rsidP="00B8691B">
      <w:pPr>
        <w:rPr>
          <w:b/>
        </w:rPr>
      </w:pPr>
      <w:r w:rsidRPr="0078453D">
        <w:rPr>
          <w:b/>
        </w:rPr>
        <w:t>Informations relatives aux animations</w:t>
      </w:r>
    </w:p>
    <w:p w14:paraId="2FF4C110" w14:textId="77777777" w:rsidR="00B8691B" w:rsidRDefault="00B8691B" w:rsidP="00B8691B">
      <w:r>
        <w:t>Cette année encore, les visiteurs seront accueillis par nos livreurs de journaux</w:t>
      </w:r>
      <w:r w:rsidR="00A9375D">
        <w:t xml:space="preserve">, qui leur remettront notre journal </w:t>
      </w:r>
      <w:r w:rsidR="0078453D">
        <w:t>« </w:t>
      </w:r>
      <w:r w:rsidR="00A9375D" w:rsidRPr="0078453D">
        <w:rPr>
          <w:b/>
        </w:rPr>
        <w:t>La Gazette</w:t>
      </w:r>
      <w:r w:rsidR="0078453D">
        <w:t> »</w:t>
      </w:r>
      <w:r w:rsidR="00A9375D">
        <w:t>. Celui-ci contient un résumé des dernières nouveautés ainsi qu’un plan des palais. Le public est ainsi encouragé à découvrir les quatre coins du Salon et à profiter d’une pause bien méritée dans les zones de détente et de restauration.</w:t>
      </w:r>
    </w:p>
    <w:p w14:paraId="5B9F54DC" w14:textId="77777777" w:rsidR="00A9375D" w:rsidRDefault="00A9375D" w:rsidP="00B8691B">
      <w:r>
        <w:t xml:space="preserve">Mais parce que le temps reste </w:t>
      </w:r>
      <w:r w:rsidR="0078453D">
        <w:t>précieux</w:t>
      </w:r>
      <w:r>
        <w:t xml:space="preserve"> et</w:t>
      </w:r>
      <w:r w:rsidR="0078453D">
        <w:t xml:space="preserve"> que</w:t>
      </w:r>
      <w:r>
        <w:t xml:space="preserve"> nous ne voulons pas non plus détourner nos visiteurs des fabricants qu’ils sont venus voir, nous </w:t>
      </w:r>
      <w:r w:rsidR="0078453D">
        <w:t>leur</w:t>
      </w:r>
      <w:r>
        <w:t xml:space="preserve"> proposons cette année </w:t>
      </w:r>
      <w:r w:rsidRPr="0078453D">
        <w:rPr>
          <w:b/>
        </w:rPr>
        <w:t>The Fair Express</w:t>
      </w:r>
      <w:r>
        <w:t xml:space="preserve">. La solution </w:t>
      </w:r>
      <w:r w:rsidR="0078453D">
        <w:t xml:space="preserve">idéale </w:t>
      </w:r>
      <w:r>
        <w:t>pour parcourir tous les palais à vitesse accélérée en mêlant efficacité et plaisir</w:t>
      </w:r>
      <w:r w:rsidR="0078453D">
        <w:t>, grâce notamment à l’agréable compagnie de nos chauffeurs de rickshaws.</w:t>
      </w:r>
    </w:p>
    <w:p w14:paraId="0459925F" w14:textId="77777777" w:rsidR="00A9375D" w:rsidRPr="0078453D" w:rsidRDefault="0078453D" w:rsidP="00B8691B">
      <w:pPr>
        <w:rPr>
          <w:b/>
        </w:rPr>
      </w:pPr>
      <w:r w:rsidRPr="0078453D">
        <w:rPr>
          <w:b/>
        </w:rPr>
        <w:t>Le</w:t>
      </w:r>
      <w:r w:rsidR="00A9375D" w:rsidRPr="0078453D">
        <w:rPr>
          <w:b/>
        </w:rPr>
        <w:t xml:space="preserve"> Salon du Meuble de Bruxelles 2024 en chiffres</w:t>
      </w:r>
    </w:p>
    <w:p w14:paraId="7B50EDC5" w14:textId="1FD7DEE9" w:rsidR="00E10228" w:rsidRDefault="00D80848" w:rsidP="00B8691B">
      <w:r>
        <w:t>Si nous nous penchons sur le tableau ci-dessous, nous remarquons d’emblée que les fabricants néerlandais sont cette année encore présents en grand nombre, tant et si bien que l’écart entre marques belges et néerlandaises devient presque insignifiant. Une évolution particulièrement notable dans Brussels by Night (palais 6), dans le palais 8 réputé pour le charme et l’ambiance de ses collections et, bien sûr, dans Holland à la Carte (patio), petit palais réservé exclusivement aux grandes marques néerlandaises.</w:t>
      </w:r>
    </w:p>
    <w:p w14:paraId="378F5115" w14:textId="77777777" w:rsidR="00E10228" w:rsidRDefault="00E10228">
      <w:r>
        <w:br w:type="page"/>
      </w:r>
    </w:p>
    <w:p w14:paraId="0CCFED86" w14:textId="77777777" w:rsidR="00A9375D" w:rsidRDefault="00A9375D" w:rsidP="00B8691B"/>
    <w:tbl>
      <w:tblPr>
        <w:tblW w:w="6040" w:type="dxa"/>
        <w:jc w:val="center"/>
        <w:tblCellMar>
          <w:left w:w="70" w:type="dxa"/>
          <w:right w:w="70" w:type="dxa"/>
        </w:tblCellMar>
        <w:tblLook w:val="04A0" w:firstRow="1" w:lastRow="0" w:firstColumn="1" w:lastColumn="0" w:noHBand="0" w:noVBand="1"/>
      </w:tblPr>
      <w:tblGrid>
        <w:gridCol w:w="2566"/>
        <w:gridCol w:w="3474"/>
      </w:tblGrid>
      <w:tr w:rsidR="00D80848" w:rsidRPr="00D80848" w14:paraId="2EE6316B" w14:textId="77777777" w:rsidTr="008120EA">
        <w:trPr>
          <w:trHeight w:val="315"/>
          <w:jc w:val="center"/>
        </w:trPr>
        <w:tc>
          <w:tcPr>
            <w:tcW w:w="60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BEA5A9" w14:textId="77777777" w:rsidR="00D80848" w:rsidRPr="00D80848" w:rsidRDefault="00D80848" w:rsidP="008120EA">
            <w:pPr>
              <w:spacing w:after="0" w:line="240" w:lineRule="auto"/>
              <w:jc w:val="center"/>
              <w:rPr>
                <w:rFonts w:ascii="Aptos Narrow" w:eastAsia="Times New Roman" w:hAnsi="Aptos Narrow" w:cs="Times New Roman"/>
                <w:b/>
                <w:bCs/>
                <w:color w:val="000000"/>
                <w:lang w:eastAsia="fr-BE"/>
              </w:rPr>
            </w:pPr>
            <w:r w:rsidRPr="00D80848">
              <w:rPr>
                <w:rFonts w:ascii="Aptos Narrow" w:eastAsia="Times New Roman" w:hAnsi="Aptos Narrow" w:cs="Times New Roman"/>
                <w:b/>
                <w:bCs/>
                <w:color w:val="000000"/>
                <w:lang w:eastAsia="fr-BE"/>
              </w:rPr>
              <w:t>2024 – Marques présentes au Salon du Meuble de Bruxel</w:t>
            </w:r>
            <w:r>
              <w:rPr>
                <w:rFonts w:ascii="Aptos Narrow" w:eastAsia="Times New Roman" w:hAnsi="Aptos Narrow" w:cs="Times New Roman"/>
                <w:b/>
                <w:bCs/>
                <w:color w:val="000000"/>
                <w:lang w:eastAsia="fr-BE"/>
              </w:rPr>
              <w:t>les</w:t>
            </w:r>
          </w:p>
        </w:tc>
      </w:tr>
      <w:tr w:rsidR="00D80848" w:rsidRPr="00C56D1C" w14:paraId="100EE6AF" w14:textId="77777777" w:rsidTr="008120EA">
        <w:trPr>
          <w:trHeight w:val="300"/>
          <w:jc w:val="center"/>
        </w:trPr>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5002945C" w14:textId="77777777" w:rsidR="00D80848" w:rsidRPr="00C56D1C" w:rsidRDefault="00D80848" w:rsidP="00D80848">
            <w:pPr>
              <w:spacing w:after="0" w:line="240" w:lineRule="auto"/>
              <w:jc w:val="center"/>
              <w:rPr>
                <w:rFonts w:ascii="Aptos Narrow" w:eastAsia="Times New Roman" w:hAnsi="Aptos Narrow" w:cs="Times New Roman"/>
                <w:i/>
                <w:iCs/>
                <w:color w:val="000000"/>
                <w:lang w:eastAsia="fr-BE"/>
              </w:rPr>
            </w:pPr>
            <w:r>
              <w:rPr>
                <w:rFonts w:ascii="Aptos Narrow" w:eastAsia="Times New Roman" w:hAnsi="Aptos Narrow" w:cs="Times New Roman"/>
                <w:i/>
                <w:iCs/>
                <w:color w:val="000000"/>
                <w:lang w:eastAsia="fr-BE"/>
              </w:rPr>
              <w:t>Pays</w:t>
            </w:r>
          </w:p>
        </w:tc>
        <w:tc>
          <w:tcPr>
            <w:tcW w:w="3474" w:type="dxa"/>
            <w:tcBorders>
              <w:top w:val="nil"/>
              <w:left w:val="nil"/>
              <w:bottom w:val="single" w:sz="4" w:space="0" w:color="auto"/>
              <w:right w:val="single" w:sz="4" w:space="0" w:color="auto"/>
            </w:tcBorders>
            <w:shd w:val="clear" w:color="auto" w:fill="auto"/>
            <w:noWrap/>
            <w:vAlign w:val="center"/>
            <w:hideMark/>
          </w:tcPr>
          <w:p w14:paraId="0E0279FF" w14:textId="77777777" w:rsidR="00D80848" w:rsidRPr="00C56D1C" w:rsidRDefault="00D80848" w:rsidP="008120EA">
            <w:pPr>
              <w:spacing w:after="0" w:line="240" w:lineRule="auto"/>
              <w:jc w:val="center"/>
              <w:rPr>
                <w:rFonts w:ascii="Aptos Narrow" w:eastAsia="Times New Roman" w:hAnsi="Aptos Narrow" w:cs="Times New Roman"/>
                <w:i/>
                <w:iCs/>
                <w:color w:val="000000"/>
                <w:lang w:eastAsia="fr-BE"/>
              </w:rPr>
            </w:pPr>
            <w:r w:rsidRPr="00C56D1C">
              <w:rPr>
                <w:rFonts w:ascii="Aptos Narrow" w:eastAsia="Times New Roman" w:hAnsi="Aptos Narrow" w:cs="Times New Roman"/>
                <w:i/>
                <w:iCs/>
                <w:color w:val="000000"/>
                <w:lang w:eastAsia="fr-BE"/>
              </w:rPr>
              <w:t xml:space="preserve"># </w:t>
            </w:r>
            <w:r>
              <w:rPr>
                <w:rFonts w:ascii="Aptos Narrow" w:eastAsia="Times New Roman" w:hAnsi="Aptos Narrow" w:cs="Times New Roman"/>
                <w:i/>
                <w:iCs/>
                <w:color w:val="000000"/>
                <w:lang w:eastAsia="fr-BE"/>
              </w:rPr>
              <w:t>marques présentes</w:t>
            </w:r>
          </w:p>
        </w:tc>
      </w:tr>
      <w:tr w:rsidR="00D80848" w:rsidRPr="00C56D1C" w14:paraId="52C8E3A5" w14:textId="77777777" w:rsidTr="008120EA">
        <w:trPr>
          <w:trHeight w:val="300"/>
          <w:jc w:val="center"/>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26B48026" w14:textId="77777777" w:rsidR="00D80848" w:rsidRPr="00C56D1C" w:rsidRDefault="00D80848" w:rsidP="008120EA">
            <w:pPr>
              <w:spacing w:after="0" w:line="240" w:lineRule="auto"/>
              <w:rPr>
                <w:rFonts w:ascii="Aptos Narrow" w:eastAsia="Times New Roman" w:hAnsi="Aptos Narrow" w:cs="Times New Roman"/>
                <w:color w:val="000000"/>
                <w:lang w:eastAsia="fr-BE"/>
              </w:rPr>
            </w:pPr>
            <w:r>
              <w:rPr>
                <w:rFonts w:ascii="Aptos Narrow" w:eastAsia="Times New Roman" w:hAnsi="Aptos Narrow" w:cs="Times New Roman"/>
                <w:color w:val="000000"/>
                <w:lang w:eastAsia="fr-BE"/>
              </w:rPr>
              <w:t>Belgique</w:t>
            </w:r>
          </w:p>
        </w:tc>
        <w:tc>
          <w:tcPr>
            <w:tcW w:w="3474" w:type="dxa"/>
            <w:tcBorders>
              <w:top w:val="nil"/>
              <w:left w:val="nil"/>
              <w:bottom w:val="single" w:sz="4" w:space="0" w:color="auto"/>
              <w:right w:val="single" w:sz="4" w:space="0" w:color="auto"/>
            </w:tcBorders>
            <w:shd w:val="clear" w:color="auto" w:fill="auto"/>
            <w:noWrap/>
            <w:vAlign w:val="bottom"/>
            <w:hideMark/>
          </w:tcPr>
          <w:p w14:paraId="75A4EA99" w14:textId="77777777" w:rsidR="00D80848" w:rsidRPr="00C56D1C" w:rsidRDefault="00D80848" w:rsidP="008120EA">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81</w:t>
            </w:r>
          </w:p>
        </w:tc>
      </w:tr>
      <w:tr w:rsidR="00D80848" w:rsidRPr="00C56D1C" w14:paraId="56159B91" w14:textId="77777777" w:rsidTr="008120EA">
        <w:trPr>
          <w:trHeight w:val="300"/>
          <w:jc w:val="center"/>
        </w:trPr>
        <w:tc>
          <w:tcPr>
            <w:tcW w:w="2566" w:type="dxa"/>
            <w:tcBorders>
              <w:top w:val="nil"/>
              <w:left w:val="single" w:sz="4" w:space="0" w:color="auto"/>
              <w:bottom w:val="single" w:sz="4" w:space="0" w:color="auto"/>
              <w:right w:val="single" w:sz="4" w:space="0" w:color="auto"/>
            </w:tcBorders>
            <w:shd w:val="clear" w:color="000000" w:fill="F2F2F2"/>
            <w:noWrap/>
            <w:vAlign w:val="bottom"/>
            <w:hideMark/>
          </w:tcPr>
          <w:p w14:paraId="7FD218B7" w14:textId="77777777" w:rsidR="00D80848" w:rsidRPr="00C56D1C" w:rsidRDefault="00D80848" w:rsidP="008120EA">
            <w:pPr>
              <w:spacing w:after="0" w:line="240" w:lineRule="auto"/>
              <w:rPr>
                <w:rFonts w:ascii="Aptos Narrow" w:eastAsia="Times New Roman" w:hAnsi="Aptos Narrow" w:cs="Times New Roman"/>
                <w:color w:val="000000"/>
                <w:lang w:eastAsia="fr-BE"/>
              </w:rPr>
            </w:pPr>
            <w:r>
              <w:rPr>
                <w:rFonts w:ascii="Aptos Narrow" w:eastAsia="Times New Roman" w:hAnsi="Aptos Narrow" w:cs="Times New Roman"/>
                <w:color w:val="000000"/>
                <w:lang w:eastAsia="fr-BE"/>
              </w:rPr>
              <w:t>Pays-Bas</w:t>
            </w:r>
          </w:p>
        </w:tc>
        <w:tc>
          <w:tcPr>
            <w:tcW w:w="3474" w:type="dxa"/>
            <w:tcBorders>
              <w:top w:val="nil"/>
              <w:left w:val="nil"/>
              <w:bottom w:val="single" w:sz="4" w:space="0" w:color="auto"/>
              <w:right w:val="single" w:sz="4" w:space="0" w:color="auto"/>
            </w:tcBorders>
            <w:shd w:val="clear" w:color="000000" w:fill="F2F2F2"/>
            <w:noWrap/>
            <w:vAlign w:val="bottom"/>
            <w:hideMark/>
          </w:tcPr>
          <w:p w14:paraId="3A0B1446" w14:textId="77777777" w:rsidR="00D80848" w:rsidRPr="00C56D1C" w:rsidRDefault="00D80848" w:rsidP="008120EA">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70</w:t>
            </w:r>
          </w:p>
        </w:tc>
      </w:tr>
      <w:tr w:rsidR="00D80848" w:rsidRPr="00C56D1C" w14:paraId="28F76CC3" w14:textId="77777777" w:rsidTr="008120EA">
        <w:trPr>
          <w:trHeight w:val="300"/>
          <w:jc w:val="center"/>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15FDF739" w14:textId="77777777" w:rsidR="00D80848" w:rsidRPr="00C56D1C" w:rsidRDefault="00D80848" w:rsidP="008120EA">
            <w:pPr>
              <w:spacing w:after="0" w:line="240" w:lineRule="auto"/>
              <w:rPr>
                <w:rFonts w:ascii="Aptos Narrow" w:eastAsia="Times New Roman" w:hAnsi="Aptos Narrow" w:cs="Times New Roman"/>
                <w:color w:val="000000"/>
                <w:lang w:eastAsia="fr-BE"/>
              </w:rPr>
            </w:pPr>
            <w:r>
              <w:rPr>
                <w:rFonts w:ascii="Aptos Narrow" w:eastAsia="Times New Roman" w:hAnsi="Aptos Narrow" w:cs="Times New Roman"/>
                <w:color w:val="000000"/>
                <w:lang w:eastAsia="fr-BE"/>
              </w:rPr>
              <w:t>Allemagne</w:t>
            </w:r>
          </w:p>
        </w:tc>
        <w:tc>
          <w:tcPr>
            <w:tcW w:w="3474" w:type="dxa"/>
            <w:tcBorders>
              <w:top w:val="nil"/>
              <w:left w:val="nil"/>
              <w:bottom w:val="single" w:sz="4" w:space="0" w:color="auto"/>
              <w:right w:val="single" w:sz="4" w:space="0" w:color="auto"/>
            </w:tcBorders>
            <w:shd w:val="clear" w:color="auto" w:fill="auto"/>
            <w:noWrap/>
            <w:vAlign w:val="bottom"/>
            <w:hideMark/>
          </w:tcPr>
          <w:p w14:paraId="4B020E9D" w14:textId="77777777" w:rsidR="00D80848" w:rsidRPr="00C56D1C" w:rsidRDefault="00D80848" w:rsidP="008120EA">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13</w:t>
            </w:r>
          </w:p>
        </w:tc>
      </w:tr>
      <w:tr w:rsidR="00D80848" w:rsidRPr="00C56D1C" w14:paraId="3543429A" w14:textId="77777777" w:rsidTr="008120EA">
        <w:trPr>
          <w:trHeight w:val="300"/>
          <w:jc w:val="center"/>
        </w:trPr>
        <w:tc>
          <w:tcPr>
            <w:tcW w:w="2566" w:type="dxa"/>
            <w:tcBorders>
              <w:top w:val="nil"/>
              <w:left w:val="single" w:sz="4" w:space="0" w:color="auto"/>
              <w:bottom w:val="single" w:sz="4" w:space="0" w:color="auto"/>
              <w:right w:val="single" w:sz="4" w:space="0" w:color="auto"/>
            </w:tcBorders>
            <w:shd w:val="clear" w:color="000000" w:fill="F2F2F2"/>
            <w:noWrap/>
            <w:vAlign w:val="bottom"/>
            <w:hideMark/>
          </w:tcPr>
          <w:p w14:paraId="37143282" w14:textId="77777777" w:rsidR="00D80848" w:rsidRPr="00C56D1C" w:rsidRDefault="00D80848" w:rsidP="008120EA">
            <w:pPr>
              <w:spacing w:after="0" w:line="240" w:lineRule="auto"/>
              <w:rPr>
                <w:rFonts w:ascii="Aptos Narrow" w:eastAsia="Times New Roman" w:hAnsi="Aptos Narrow" w:cs="Times New Roman"/>
                <w:color w:val="000000"/>
                <w:lang w:eastAsia="fr-BE"/>
              </w:rPr>
            </w:pPr>
            <w:r>
              <w:rPr>
                <w:rFonts w:ascii="Aptos Narrow" w:eastAsia="Times New Roman" w:hAnsi="Aptos Narrow" w:cs="Times New Roman"/>
                <w:color w:val="000000"/>
                <w:lang w:eastAsia="fr-BE"/>
              </w:rPr>
              <w:t>Pologne</w:t>
            </w:r>
          </w:p>
        </w:tc>
        <w:tc>
          <w:tcPr>
            <w:tcW w:w="3474" w:type="dxa"/>
            <w:tcBorders>
              <w:top w:val="nil"/>
              <w:left w:val="nil"/>
              <w:bottom w:val="single" w:sz="4" w:space="0" w:color="auto"/>
              <w:right w:val="single" w:sz="4" w:space="0" w:color="auto"/>
            </w:tcBorders>
            <w:shd w:val="clear" w:color="000000" w:fill="F2F2F2"/>
            <w:noWrap/>
            <w:vAlign w:val="bottom"/>
            <w:hideMark/>
          </w:tcPr>
          <w:p w14:paraId="1CE26B83" w14:textId="77777777" w:rsidR="00D80848" w:rsidRPr="00C56D1C" w:rsidRDefault="00D80848" w:rsidP="008120EA">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10</w:t>
            </w:r>
          </w:p>
        </w:tc>
      </w:tr>
      <w:tr w:rsidR="00D80848" w:rsidRPr="00C56D1C" w14:paraId="17024F59" w14:textId="77777777" w:rsidTr="008120EA">
        <w:trPr>
          <w:trHeight w:val="300"/>
          <w:jc w:val="center"/>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705EE8C1" w14:textId="77777777" w:rsidR="00D80848" w:rsidRPr="00C56D1C" w:rsidRDefault="00D80848" w:rsidP="008120EA">
            <w:pPr>
              <w:spacing w:after="0" w:line="240" w:lineRule="auto"/>
              <w:rPr>
                <w:rFonts w:ascii="Aptos Narrow" w:eastAsia="Times New Roman" w:hAnsi="Aptos Narrow" w:cs="Times New Roman"/>
                <w:color w:val="000000"/>
                <w:lang w:eastAsia="fr-BE"/>
              </w:rPr>
            </w:pPr>
            <w:r>
              <w:rPr>
                <w:rFonts w:ascii="Aptos Narrow" w:eastAsia="Times New Roman" w:hAnsi="Aptos Narrow" w:cs="Times New Roman"/>
                <w:color w:val="000000"/>
                <w:lang w:eastAsia="fr-BE"/>
              </w:rPr>
              <w:t>Ukraine</w:t>
            </w:r>
          </w:p>
        </w:tc>
        <w:tc>
          <w:tcPr>
            <w:tcW w:w="3474" w:type="dxa"/>
            <w:tcBorders>
              <w:top w:val="nil"/>
              <w:left w:val="nil"/>
              <w:bottom w:val="single" w:sz="4" w:space="0" w:color="auto"/>
              <w:right w:val="single" w:sz="4" w:space="0" w:color="auto"/>
            </w:tcBorders>
            <w:shd w:val="clear" w:color="auto" w:fill="auto"/>
            <w:noWrap/>
            <w:vAlign w:val="bottom"/>
            <w:hideMark/>
          </w:tcPr>
          <w:p w14:paraId="04143A04" w14:textId="77777777" w:rsidR="00D80848" w:rsidRPr="00C56D1C" w:rsidRDefault="00D80848" w:rsidP="008120EA">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10</w:t>
            </w:r>
          </w:p>
        </w:tc>
      </w:tr>
      <w:tr w:rsidR="00D80848" w:rsidRPr="00C56D1C" w14:paraId="5B8BDC12" w14:textId="77777777" w:rsidTr="008120EA">
        <w:trPr>
          <w:trHeight w:val="300"/>
          <w:jc w:val="center"/>
        </w:trPr>
        <w:tc>
          <w:tcPr>
            <w:tcW w:w="2566" w:type="dxa"/>
            <w:tcBorders>
              <w:top w:val="nil"/>
              <w:left w:val="single" w:sz="4" w:space="0" w:color="auto"/>
              <w:bottom w:val="single" w:sz="4" w:space="0" w:color="auto"/>
              <w:right w:val="single" w:sz="4" w:space="0" w:color="auto"/>
            </w:tcBorders>
            <w:shd w:val="clear" w:color="000000" w:fill="F2F2F2"/>
            <w:noWrap/>
            <w:vAlign w:val="bottom"/>
            <w:hideMark/>
          </w:tcPr>
          <w:p w14:paraId="4EAABD08" w14:textId="77777777" w:rsidR="00D80848" w:rsidRPr="00C56D1C" w:rsidRDefault="00D80848" w:rsidP="008120EA">
            <w:pPr>
              <w:spacing w:after="0" w:line="240" w:lineRule="auto"/>
              <w:rPr>
                <w:rFonts w:ascii="Aptos Narrow" w:eastAsia="Times New Roman" w:hAnsi="Aptos Narrow" w:cs="Times New Roman"/>
                <w:color w:val="000000"/>
                <w:lang w:eastAsia="fr-BE"/>
              </w:rPr>
            </w:pPr>
            <w:r>
              <w:rPr>
                <w:rFonts w:ascii="Aptos Narrow" w:eastAsia="Times New Roman" w:hAnsi="Aptos Narrow" w:cs="Times New Roman"/>
                <w:color w:val="000000"/>
                <w:lang w:eastAsia="fr-BE"/>
              </w:rPr>
              <w:t>France</w:t>
            </w:r>
          </w:p>
        </w:tc>
        <w:tc>
          <w:tcPr>
            <w:tcW w:w="3474" w:type="dxa"/>
            <w:tcBorders>
              <w:top w:val="nil"/>
              <w:left w:val="nil"/>
              <w:bottom w:val="single" w:sz="4" w:space="0" w:color="auto"/>
              <w:right w:val="single" w:sz="4" w:space="0" w:color="auto"/>
            </w:tcBorders>
            <w:shd w:val="clear" w:color="000000" w:fill="F2F2F2"/>
            <w:noWrap/>
            <w:vAlign w:val="bottom"/>
            <w:hideMark/>
          </w:tcPr>
          <w:p w14:paraId="0722C27D" w14:textId="77777777" w:rsidR="00D80848" w:rsidRPr="00C56D1C" w:rsidRDefault="00D80848" w:rsidP="008120EA">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8</w:t>
            </w:r>
          </w:p>
        </w:tc>
      </w:tr>
      <w:tr w:rsidR="00D80848" w:rsidRPr="00C56D1C" w14:paraId="50F98D5C" w14:textId="77777777" w:rsidTr="008120EA">
        <w:trPr>
          <w:trHeight w:val="300"/>
          <w:jc w:val="center"/>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1F869441" w14:textId="77777777" w:rsidR="00D80848" w:rsidRPr="00C56D1C" w:rsidRDefault="00D80848" w:rsidP="008120EA">
            <w:pPr>
              <w:spacing w:after="0" w:line="240" w:lineRule="auto"/>
              <w:rPr>
                <w:rFonts w:ascii="Aptos Narrow" w:eastAsia="Times New Roman" w:hAnsi="Aptos Narrow" w:cs="Times New Roman"/>
                <w:color w:val="000000"/>
                <w:lang w:eastAsia="fr-BE"/>
              </w:rPr>
            </w:pPr>
            <w:r>
              <w:rPr>
                <w:rFonts w:ascii="Aptos Narrow" w:eastAsia="Times New Roman" w:hAnsi="Aptos Narrow" w:cs="Times New Roman"/>
                <w:color w:val="000000"/>
                <w:lang w:eastAsia="fr-BE"/>
              </w:rPr>
              <w:t>Lituanie</w:t>
            </w:r>
          </w:p>
        </w:tc>
        <w:tc>
          <w:tcPr>
            <w:tcW w:w="3474" w:type="dxa"/>
            <w:tcBorders>
              <w:top w:val="nil"/>
              <w:left w:val="nil"/>
              <w:bottom w:val="single" w:sz="4" w:space="0" w:color="auto"/>
              <w:right w:val="single" w:sz="4" w:space="0" w:color="auto"/>
            </w:tcBorders>
            <w:shd w:val="clear" w:color="auto" w:fill="auto"/>
            <w:noWrap/>
            <w:vAlign w:val="bottom"/>
            <w:hideMark/>
          </w:tcPr>
          <w:p w14:paraId="08F242CE" w14:textId="77777777" w:rsidR="00D80848" w:rsidRPr="00C56D1C" w:rsidRDefault="00D80848" w:rsidP="008120EA">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6</w:t>
            </w:r>
          </w:p>
        </w:tc>
      </w:tr>
      <w:tr w:rsidR="00D80848" w:rsidRPr="00C56D1C" w14:paraId="74C7DC00" w14:textId="77777777" w:rsidTr="008120EA">
        <w:trPr>
          <w:trHeight w:val="300"/>
          <w:jc w:val="center"/>
        </w:trPr>
        <w:tc>
          <w:tcPr>
            <w:tcW w:w="2566" w:type="dxa"/>
            <w:tcBorders>
              <w:top w:val="nil"/>
              <w:left w:val="single" w:sz="4" w:space="0" w:color="auto"/>
              <w:bottom w:val="single" w:sz="4" w:space="0" w:color="auto"/>
              <w:right w:val="single" w:sz="4" w:space="0" w:color="auto"/>
            </w:tcBorders>
            <w:shd w:val="clear" w:color="000000" w:fill="F2F2F2"/>
            <w:noWrap/>
            <w:vAlign w:val="bottom"/>
            <w:hideMark/>
          </w:tcPr>
          <w:p w14:paraId="10B0E8ED" w14:textId="77777777" w:rsidR="00D80848" w:rsidRPr="00C56D1C" w:rsidRDefault="00D80848" w:rsidP="008120EA">
            <w:pPr>
              <w:spacing w:after="0" w:line="240" w:lineRule="auto"/>
              <w:rPr>
                <w:rFonts w:ascii="Aptos Narrow" w:eastAsia="Times New Roman" w:hAnsi="Aptos Narrow" w:cs="Times New Roman"/>
                <w:color w:val="000000"/>
                <w:lang w:eastAsia="fr-BE"/>
              </w:rPr>
            </w:pPr>
            <w:r>
              <w:rPr>
                <w:rFonts w:ascii="Aptos Narrow" w:eastAsia="Times New Roman" w:hAnsi="Aptos Narrow" w:cs="Times New Roman"/>
                <w:color w:val="000000"/>
                <w:lang w:eastAsia="fr-BE"/>
              </w:rPr>
              <w:t>Italie</w:t>
            </w:r>
          </w:p>
        </w:tc>
        <w:tc>
          <w:tcPr>
            <w:tcW w:w="3474" w:type="dxa"/>
            <w:tcBorders>
              <w:top w:val="nil"/>
              <w:left w:val="nil"/>
              <w:bottom w:val="single" w:sz="4" w:space="0" w:color="auto"/>
              <w:right w:val="single" w:sz="4" w:space="0" w:color="auto"/>
            </w:tcBorders>
            <w:shd w:val="clear" w:color="000000" w:fill="F2F2F2"/>
            <w:noWrap/>
            <w:vAlign w:val="bottom"/>
            <w:hideMark/>
          </w:tcPr>
          <w:p w14:paraId="6DE49227" w14:textId="77777777" w:rsidR="00D80848" w:rsidRPr="00C56D1C" w:rsidRDefault="00D80848" w:rsidP="008120EA">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5</w:t>
            </w:r>
          </w:p>
        </w:tc>
      </w:tr>
      <w:tr w:rsidR="00D80848" w:rsidRPr="00C56D1C" w14:paraId="1374F1E0" w14:textId="77777777" w:rsidTr="008120EA">
        <w:trPr>
          <w:trHeight w:val="300"/>
          <w:jc w:val="center"/>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324FD354" w14:textId="77777777" w:rsidR="00D80848" w:rsidRPr="00C56D1C" w:rsidRDefault="00D80848" w:rsidP="008120EA">
            <w:pPr>
              <w:spacing w:after="0" w:line="240" w:lineRule="auto"/>
              <w:rPr>
                <w:rFonts w:ascii="Aptos Narrow" w:eastAsia="Times New Roman" w:hAnsi="Aptos Narrow" w:cs="Times New Roman"/>
                <w:color w:val="000000"/>
                <w:lang w:eastAsia="fr-BE"/>
              </w:rPr>
            </w:pPr>
            <w:r>
              <w:rPr>
                <w:rFonts w:ascii="Aptos Narrow" w:eastAsia="Times New Roman" w:hAnsi="Aptos Narrow" w:cs="Times New Roman"/>
                <w:color w:val="000000"/>
                <w:lang w:eastAsia="fr-BE"/>
              </w:rPr>
              <w:t>Danemark</w:t>
            </w:r>
          </w:p>
        </w:tc>
        <w:tc>
          <w:tcPr>
            <w:tcW w:w="3474" w:type="dxa"/>
            <w:tcBorders>
              <w:top w:val="nil"/>
              <w:left w:val="nil"/>
              <w:bottom w:val="single" w:sz="4" w:space="0" w:color="auto"/>
              <w:right w:val="single" w:sz="4" w:space="0" w:color="auto"/>
            </w:tcBorders>
            <w:shd w:val="clear" w:color="auto" w:fill="auto"/>
            <w:noWrap/>
            <w:vAlign w:val="bottom"/>
            <w:hideMark/>
          </w:tcPr>
          <w:p w14:paraId="3B6B0393" w14:textId="77777777" w:rsidR="00D80848" w:rsidRPr="00C56D1C" w:rsidRDefault="00D80848" w:rsidP="008120EA">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4</w:t>
            </w:r>
          </w:p>
        </w:tc>
      </w:tr>
      <w:tr w:rsidR="00D80848" w:rsidRPr="00C56D1C" w14:paraId="0429E394" w14:textId="77777777" w:rsidTr="008120EA">
        <w:trPr>
          <w:trHeight w:val="300"/>
          <w:jc w:val="center"/>
        </w:trPr>
        <w:tc>
          <w:tcPr>
            <w:tcW w:w="2566" w:type="dxa"/>
            <w:tcBorders>
              <w:top w:val="nil"/>
              <w:left w:val="single" w:sz="4" w:space="0" w:color="auto"/>
              <w:bottom w:val="single" w:sz="4" w:space="0" w:color="auto"/>
              <w:right w:val="single" w:sz="4" w:space="0" w:color="auto"/>
            </w:tcBorders>
            <w:shd w:val="clear" w:color="000000" w:fill="F2F2F2"/>
            <w:noWrap/>
            <w:vAlign w:val="bottom"/>
            <w:hideMark/>
          </w:tcPr>
          <w:p w14:paraId="086FDF31" w14:textId="77777777" w:rsidR="00D80848" w:rsidRPr="00C56D1C" w:rsidRDefault="00D80848" w:rsidP="008120EA">
            <w:pPr>
              <w:spacing w:after="0" w:line="240" w:lineRule="auto"/>
              <w:rPr>
                <w:rFonts w:ascii="Aptos Narrow" w:eastAsia="Times New Roman" w:hAnsi="Aptos Narrow" w:cs="Times New Roman"/>
                <w:color w:val="000000"/>
                <w:lang w:eastAsia="fr-BE"/>
              </w:rPr>
            </w:pPr>
            <w:r>
              <w:rPr>
                <w:rFonts w:ascii="Aptos Narrow" w:eastAsia="Times New Roman" w:hAnsi="Aptos Narrow" w:cs="Times New Roman"/>
                <w:color w:val="000000"/>
                <w:lang w:eastAsia="fr-BE"/>
              </w:rPr>
              <w:t>Turquie</w:t>
            </w:r>
          </w:p>
        </w:tc>
        <w:tc>
          <w:tcPr>
            <w:tcW w:w="3474" w:type="dxa"/>
            <w:tcBorders>
              <w:top w:val="nil"/>
              <w:left w:val="nil"/>
              <w:bottom w:val="single" w:sz="4" w:space="0" w:color="auto"/>
              <w:right w:val="single" w:sz="4" w:space="0" w:color="auto"/>
            </w:tcBorders>
            <w:shd w:val="clear" w:color="000000" w:fill="F2F2F2"/>
            <w:noWrap/>
            <w:vAlign w:val="bottom"/>
            <w:hideMark/>
          </w:tcPr>
          <w:p w14:paraId="46D212D9" w14:textId="77777777" w:rsidR="00D80848" w:rsidRPr="00C56D1C" w:rsidRDefault="00D80848" w:rsidP="008120EA">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3</w:t>
            </w:r>
          </w:p>
        </w:tc>
      </w:tr>
      <w:tr w:rsidR="00D80848" w:rsidRPr="00C56D1C" w14:paraId="1E43D92C" w14:textId="77777777" w:rsidTr="008120EA">
        <w:trPr>
          <w:trHeight w:val="300"/>
          <w:jc w:val="center"/>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560C68F3" w14:textId="77777777" w:rsidR="00D80848" w:rsidRPr="00C56D1C" w:rsidRDefault="00D80848" w:rsidP="008120EA">
            <w:pPr>
              <w:spacing w:after="0" w:line="240" w:lineRule="auto"/>
              <w:rPr>
                <w:rFonts w:ascii="Aptos Narrow" w:eastAsia="Times New Roman" w:hAnsi="Aptos Narrow" w:cs="Times New Roman"/>
                <w:color w:val="000000"/>
                <w:lang w:eastAsia="fr-BE"/>
              </w:rPr>
            </w:pPr>
            <w:r>
              <w:rPr>
                <w:rFonts w:ascii="Aptos Narrow" w:eastAsia="Times New Roman" w:hAnsi="Aptos Narrow" w:cs="Times New Roman"/>
                <w:color w:val="000000"/>
                <w:lang w:eastAsia="fr-BE"/>
              </w:rPr>
              <w:t>Estonie</w:t>
            </w:r>
          </w:p>
        </w:tc>
        <w:tc>
          <w:tcPr>
            <w:tcW w:w="3474" w:type="dxa"/>
            <w:tcBorders>
              <w:top w:val="nil"/>
              <w:left w:val="nil"/>
              <w:bottom w:val="single" w:sz="4" w:space="0" w:color="auto"/>
              <w:right w:val="single" w:sz="4" w:space="0" w:color="auto"/>
            </w:tcBorders>
            <w:shd w:val="clear" w:color="auto" w:fill="auto"/>
            <w:noWrap/>
            <w:vAlign w:val="bottom"/>
            <w:hideMark/>
          </w:tcPr>
          <w:p w14:paraId="3523175B" w14:textId="77777777" w:rsidR="00D80848" w:rsidRPr="00C56D1C" w:rsidRDefault="00D80848" w:rsidP="008120EA">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2</w:t>
            </w:r>
          </w:p>
        </w:tc>
      </w:tr>
      <w:tr w:rsidR="00D80848" w:rsidRPr="00C56D1C" w14:paraId="60CF768A" w14:textId="77777777" w:rsidTr="008120EA">
        <w:trPr>
          <w:trHeight w:val="300"/>
          <w:jc w:val="center"/>
        </w:trPr>
        <w:tc>
          <w:tcPr>
            <w:tcW w:w="2566" w:type="dxa"/>
            <w:tcBorders>
              <w:top w:val="nil"/>
              <w:left w:val="single" w:sz="4" w:space="0" w:color="auto"/>
              <w:bottom w:val="single" w:sz="4" w:space="0" w:color="auto"/>
              <w:right w:val="single" w:sz="4" w:space="0" w:color="auto"/>
            </w:tcBorders>
            <w:shd w:val="clear" w:color="000000" w:fill="F2F2F2"/>
            <w:noWrap/>
            <w:vAlign w:val="bottom"/>
            <w:hideMark/>
          </w:tcPr>
          <w:p w14:paraId="2BEF4208" w14:textId="77777777" w:rsidR="00D80848" w:rsidRPr="00C56D1C" w:rsidRDefault="00D80848" w:rsidP="008120EA">
            <w:pPr>
              <w:spacing w:after="0" w:line="240" w:lineRule="auto"/>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Portugal</w:t>
            </w:r>
          </w:p>
        </w:tc>
        <w:tc>
          <w:tcPr>
            <w:tcW w:w="3474" w:type="dxa"/>
            <w:tcBorders>
              <w:top w:val="nil"/>
              <w:left w:val="nil"/>
              <w:bottom w:val="single" w:sz="4" w:space="0" w:color="auto"/>
              <w:right w:val="single" w:sz="4" w:space="0" w:color="auto"/>
            </w:tcBorders>
            <w:shd w:val="clear" w:color="000000" w:fill="F2F2F2"/>
            <w:noWrap/>
            <w:vAlign w:val="bottom"/>
            <w:hideMark/>
          </w:tcPr>
          <w:p w14:paraId="14C4E69B" w14:textId="77777777" w:rsidR="00D80848" w:rsidRPr="00C56D1C" w:rsidRDefault="00D80848" w:rsidP="008120EA">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2</w:t>
            </w:r>
          </w:p>
        </w:tc>
      </w:tr>
      <w:tr w:rsidR="00D80848" w:rsidRPr="00C56D1C" w14:paraId="5EBCC055" w14:textId="77777777" w:rsidTr="008120EA">
        <w:trPr>
          <w:trHeight w:val="300"/>
          <w:jc w:val="center"/>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120368BF" w14:textId="77777777" w:rsidR="00D80848" w:rsidRPr="00C56D1C" w:rsidRDefault="00D80848" w:rsidP="008120EA">
            <w:pPr>
              <w:spacing w:after="0" w:line="240" w:lineRule="auto"/>
              <w:rPr>
                <w:rFonts w:ascii="Aptos Narrow" w:eastAsia="Times New Roman" w:hAnsi="Aptos Narrow" w:cs="Times New Roman"/>
                <w:color w:val="000000"/>
                <w:lang w:eastAsia="fr-BE"/>
              </w:rPr>
            </w:pPr>
            <w:r>
              <w:rPr>
                <w:rFonts w:ascii="Aptos Narrow" w:eastAsia="Times New Roman" w:hAnsi="Aptos Narrow" w:cs="Times New Roman"/>
                <w:color w:val="000000"/>
                <w:lang w:eastAsia="fr-BE"/>
              </w:rPr>
              <w:t>Autriche</w:t>
            </w:r>
          </w:p>
        </w:tc>
        <w:tc>
          <w:tcPr>
            <w:tcW w:w="3474" w:type="dxa"/>
            <w:tcBorders>
              <w:top w:val="nil"/>
              <w:left w:val="nil"/>
              <w:bottom w:val="single" w:sz="4" w:space="0" w:color="auto"/>
              <w:right w:val="single" w:sz="4" w:space="0" w:color="auto"/>
            </w:tcBorders>
            <w:shd w:val="clear" w:color="auto" w:fill="auto"/>
            <w:noWrap/>
            <w:vAlign w:val="bottom"/>
            <w:hideMark/>
          </w:tcPr>
          <w:p w14:paraId="27D62E58" w14:textId="77777777" w:rsidR="00D80848" w:rsidRPr="00C56D1C" w:rsidRDefault="00D80848" w:rsidP="008120EA">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1</w:t>
            </w:r>
          </w:p>
        </w:tc>
      </w:tr>
      <w:tr w:rsidR="00D80848" w:rsidRPr="00C56D1C" w14:paraId="0869E411" w14:textId="77777777" w:rsidTr="008120EA">
        <w:trPr>
          <w:trHeight w:val="300"/>
          <w:jc w:val="center"/>
        </w:trPr>
        <w:tc>
          <w:tcPr>
            <w:tcW w:w="2566" w:type="dxa"/>
            <w:tcBorders>
              <w:top w:val="nil"/>
              <w:left w:val="single" w:sz="4" w:space="0" w:color="auto"/>
              <w:bottom w:val="single" w:sz="4" w:space="0" w:color="auto"/>
              <w:right w:val="single" w:sz="4" w:space="0" w:color="auto"/>
            </w:tcBorders>
            <w:shd w:val="clear" w:color="000000" w:fill="F2F2F2"/>
            <w:noWrap/>
            <w:vAlign w:val="bottom"/>
            <w:hideMark/>
          </w:tcPr>
          <w:p w14:paraId="0A2B58F8" w14:textId="77777777" w:rsidR="00D80848" w:rsidRPr="00C56D1C" w:rsidRDefault="00D80848" w:rsidP="008120EA">
            <w:pPr>
              <w:spacing w:after="0" w:line="240" w:lineRule="auto"/>
              <w:rPr>
                <w:rFonts w:ascii="Aptos Narrow" w:eastAsia="Times New Roman" w:hAnsi="Aptos Narrow" w:cs="Times New Roman"/>
                <w:color w:val="000000"/>
                <w:lang w:eastAsia="fr-BE"/>
              </w:rPr>
            </w:pPr>
            <w:r>
              <w:rPr>
                <w:rFonts w:ascii="Aptos Narrow" w:eastAsia="Times New Roman" w:hAnsi="Aptos Narrow" w:cs="Times New Roman"/>
                <w:color w:val="000000"/>
                <w:lang w:eastAsia="fr-BE"/>
              </w:rPr>
              <w:t>Chine</w:t>
            </w:r>
          </w:p>
        </w:tc>
        <w:tc>
          <w:tcPr>
            <w:tcW w:w="3474" w:type="dxa"/>
            <w:tcBorders>
              <w:top w:val="nil"/>
              <w:left w:val="nil"/>
              <w:bottom w:val="single" w:sz="4" w:space="0" w:color="auto"/>
              <w:right w:val="single" w:sz="4" w:space="0" w:color="auto"/>
            </w:tcBorders>
            <w:shd w:val="clear" w:color="000000" w:fill="F2F2F2"/>
            <w:noWrap/>
            <w:vAlign w:val="bottom"/>
            <w:hideMark/>
          </w:tcPr>
          <w:p w14:paraId="3C00DEA3" w14:textId="77777777" w:rsidR="00D80848" w:rsidRPr="00C56D1C" w:rsidRDefault="00D80848" w:rsidP="008120EA">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1</w:t>
            </w:r>
          </w:p>
        </w:tc>
      </w:tr>
      <w:tr w:rsidR="00D80848" w:rsidRPr="00C56D1C" w14:paraId="4036348B" w14:textId="77777777" w:rsidTr="008120EA">
        <w:trPr>
          <w:trHeight w:val="300"/>
          <w:jc w:val="center"/>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615F1346" w14:textId="77777777" w:rsidR="00D80848" w:rsidRPr="00C56D1C" w:rsidRDefault="00D80848" w:rsidP="008120EA">
            <w:pPr>
              <w:spacing w:after="0" w:line="240" w:lineRule="auto"/>
              <w:rPr>
                <w:rFonts w:ascii="Aptos Narrow" w:eastAsia="Times New Roman" w:hAnsi="Aptos Narrow" w:cs="Times New Roman"/>
                <w:color w:val="000000"/>
                <w:lang w:eastAsia="fr-BE"/>
              </w:rPr>
            </w:pPr>
            <w:r>
              <w:rPr>
                <w:rFonts w:ascii="Aptos Narrow" w:eastAsia="Times New Roman" w:hAnsi="Aptos Narrow" w:cs="Times New Roman"/>
                <w:color w:val="000000"/>
                <w:lang w:eastAsia="fr-BE"/>
              </w:rPr>
              <w:t>Hongrie</w:t>
            </w:r>
          </w:p>
        </w:tc>
        <w:tc>
          <w:tcPr>
            <w:tcW w:w="3474" w:type="dxa"/>
            <w:tcBorders>
              <w:top w:val="nil"/>
              <w:left w:val="nil"/>
              <w:bottom w:val="single" w:sz="4" w:space="0" w:color="auto"/>
              <w:right w:val="single" w:sz="4" w:space="0" w:color="auto"/>
            </w:tcBorders>
            <w:shd w:val="clear" w:color="auto" w:fill="auto"/>
            <w:noWrap/>
            <w:vAlign w:val="bottom"/>
            <w:hideMark/>
          </w:tcPr>
          <w:p w14:paraId="17735FFD" w14:textId="77777777" w:rsidR="00D80848" w:rsidRPr="00C56D1C" w:rsidRDefault="00D80848" w:rsidP="008120EA">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1</w:t>
            </w:r>
          </w:p>
        </w:tc>
      </w:tr>
      <w:tr w:rsidR="00D80848" w:rsidRPr="00C56D1C" w14:paraId="2D527C3B" w14:textId="77777777" w:rsidTr="008120EA">
        <w:trPr>
          <w:trHeight w:val="300"/>
          <w:jc w:val="center"/>
        </w:trPr>
        <w:tc>
          <w:tcPr>
            <w:tcW w:w="2566" w:type="dxa"/>
            <w:tcBorders>
              <w:top w:val="nil"/>
              <w:left w:val="single" w:sz="4" w:space="0" w:color="auto"/>
              <w:bottom w:val="single" w:sz="4" w:space="0" w:color="auto"/>
              <w:right w:val="single" w:sz="4" w:space="0" w:color="auto"/>
            </w:tcBorders>
            <w:shd w:val="clear" w:color="000000" w:fill="F2F2F2"/>
            <w:noWrap/>
            <w:vAlign w:val="bottom"/>
            <w:hideMark/>
          </w:tcPr>
          <w:p w14:paraId="7A8A84D8" w14:textId="77777777" w:rsidR="00D80848" w:rsidRPr="00C56D1C" w:rsidRDefault="00D80848" w:rsidP="008120EA">
            <w:pPr>
              <w:spacing w:after="0" w:line="240" w:lineRule="auto"/>
              <w:rPr>
                <w:rFonts w:ascii="Aptos Narrow" w:eastAsia="Times New Roman" w:hAnsi="Aptos Narrow" w:cs="Times New Roman"/>
                <w:color w:val="000000"/>
                <w:lang w:eastAsia="fr-BE"/>
              </w:rPr>
            </w:pPr>
            <w:r>
              <w:rPr>
                <w:rFonts w:ascii="Aptos Narrow" w:eastAsia="Times New Roman" w:hAnsi="Aptos Narrow" w:cs="Times New Roman"/>
                <w:color w:val="000000"/>
                <w:lang w:eastAsia="fr-BE"/>
              </w:rPr>
              <w:t>Norvège</w:t>
            </w:r>
          </w:p>
        </w:tc>
        <w:tc>
          <w:tcPr>
            <w:tcW w:w="3474" w:type="dxa"/>
            <w:tcBorders>
              <w:top w:val="nil"/>
              <w:left w:val="nil"/>
              <w:bottom w:val="single" w:sz="4" w:space="0" w:color="auto"/>
              <w:right w:val="single" w:sz="4" w:space="0" w:color="auto"/>
            </w:tcBorders>
            <w:shd w:val="clear" w:color="000000" w:fill="F2F2F2"/>
            <w:noWrap/>
            <w:vAlign w:val="bottom"/>
            <w:hideMark/>
          </w:tcPr>
          <w:p w14:paraId="2F175632" w14:textId="77777777" w:rsidR="00D80848" w:rsidRPr="00C56D1C" w:rsidRDefault="00D80848" w:rsidP="008120EA">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1</w:t>
            </w:r>
          </w:p>
        </w:tc>
      </w:tr>
      <w:tr w:rsidR="00D80848" w:rsidRPr="00C56D1C" w14:paraId="7E422BDD" w14:textId="77777777" w:rsidTr="008120EA">
        <w:trPr>
          <w:trHeight w:val="300"/>
          <w:jc w:val="center"/>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5074A286" w14:textId="77777777" w:rsidR="00D80848" w:rsidRPr="00C56D1C" w:rsidRDefault="00D80848" w:rsidP="008120EA">
            <w:pPr>
              <w:spacing w:after="0" w:line="240" w:lineRule="auto"/>
              <w:rPr>
                <w:rFonts w:ascii="Aptos Narrow" w:eastAsia="Times New Roman" w:hAnsi="Aptos Narrow" w:cs="Times New Roman"/>
                <w:color w:val="000000"/>
                <w:lang w:eastAsia="fr-BE"/>
              </w:rPr>
            </w:pPr>
            <w:r>
              <w:rPr>
                <w:rFonts w:ascii="Aptos Narrow" w:eastAsia="Times New Roman" w:hAnsi="Aptos Narrow" w:cs="Times New Roman"/>
                <w:color w:val="000000"/>
                <w:lang w:eastAsia="fr-BE"/>
              </w:rPr>
              <w:t>Singapour</w:t>
            </w:r>
          </w:p>
        </w:tc>
        <w:tc>
          <w:tcPr>
            <w:tcW w:w="3474" w:type="dxa"/>
            <w:tcBorders>
              <w:top w:val="nil"/>
              <w:left w:val="nil"/>
              <w:bottom w:val="single" w:sz="4" w:space="0" w:color="auto"/>
              <w:right w:val="single" w:sz="4" w:space="0" w:color="auto"/>
            </w:tcBorders>
            <w:shd w:val="clear" w:color="auto" w:fill="auto"/>
            <w:noWrap/>
            <w:vAlign w:val="bottom"/>
            <w:hideMark/>
          </w:tcPr>
          <w:p w14:paraId="258BC646" w14:textId="77777777" w:rsidR="00D80848" w:rsidRPr="00C56D1C" w:rsidRDefault="00D80848" w:rsidP="008120EA">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1</w:t>
            </w:r>
          </w:p>
        </w:tc>
      </w:tr>
      <w:tr w:rsidR="00D80848" w:rsidRPr="00C56D1C" w14:paraId="096A2916" w14:textId="77777777" w:rsidTr="008120EA">
        <w:trPr>
          <w:trHeight w:val="300"/>
          <w:jc w:val="center"/>
        </w:trPr>
        <w:tc>
          <w:tcPr>
            <w:tcW w:w="2566" w:type="dxa"/>
            <w:tcBorders>
              <w:top w:val="nil"/>
              <w:left w:val="single" w:sz="4" w:space="0" w:color="auto"/>
              <w:bottom w:val="single" w:sz="4" w:space="0" w:color="auto"/>
              <w:right w:val="single" w:sz="4" w:space="0" w:color="auto"/>
            </w:tcBorders>
            <w:shd w:val="clear" w:color="000000" w:fill="F2F2F2"/>
            <w:noWrap/>
            <w:vAlign w:val="bottom"/>
            <w:hideMark/>
          </w:tcPr>
          <w:p w14:paraId="4B99C594" w14:textId="77777777" w:rsidR="00D80848" w:rsidRPr="00C56D1C" w:rsidRDefault="00D80848" w:rsidP="008120EA">
            <w:pPr>
              <w:spacing w:after="0" w:line="240" w:lineRule="auto"/>
              <w:rPr>
                <w:rFonts w:ascii="Aptos Narrow" w:eastAsia="Times New Roman" w:hAnsi="Aptos Narrow" w:cs="Times New Roman"/>
                <w:color w:val="000000"/>
                <w:lang w:eastAsia="fr-BE"/>
              </w:rPr>
            </w:pPr>
            <w:r>
              <w:rPr>
                <w:rFonts w:ascii="Aptos Narrow" w:eastAsia="Times New Roman" w:hAnsi="Aptos Narrow" w:cs="Times New Roman"/>
                <w:color w:val="000000"/>
                <w:lang w:eastAsia="fr-BE"/>
              </w:rPr>
              <w:t>Espagne</w:t>
            </w:r>
          </w:p>
        </w:tc>
        <w:tc>
          <w:tcPr>
            <w:tcW w:w="3474" w:type="dxa"/>
            <w:tcBorders>
              <w:top w:val="nil"/>
              <w:left w:val="nil"/>
              <w:bottom w:val="single" w:sz="4" w:space="0" w:color="auto"/>
              <w:right w:val="single" w:sz="4" w:space="0" w:color="auto"/>
            </w:tcBorders>
            <w:shd w:val="clear" w:color="000000" w:fill="F2F2F2"/>
            <w:noWrap/>
            <w:vAlign w:val="bottom"/>
            <w:hideMark/>
          </w:tcPr>
          <w:p w14:paraId="653DA830" w14:textId="77777777" w:rsidR="00D80848" w:rsidRPr="00C56D1C" w:rsidRDefault="00D80848" w:rsidP="008120EA">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1</w:t>
            </w:r>
          </w:p>
        </w:tc>
      </w:tr>
      <w:tr w:rsidR="00D80848" w:rsidRPr="00C56D1C" w14:paraId="5B933EFE" w14:textId="77777777" w:rsidTr="008120EA">
        <w:trPr>
          <w:trHeight w:val="300"/>
          <w:jc w:val="center"/>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48B6D6D5" w14:textId="77777777" w:rsidR="00D80848" w:rsidRPr="00C56D1C" w:rsidRDefault="00D80848" w:rsidP="008120EA">
            <w:pPr>
              <w:spacing w:after="0" w:line="240" w:lineRule="auto"/>
              <w:rPr>
                <w:rFonts w:ascii="Aptos Narrow" w:eastAsia="Times New Roman" w:hAnsi="Aptos Narrow" w:cs="Times New Roman"/>
                <w:color w:val="000000"/>
                <w:lang w:eastAsia="fr-BE"/>
              </w:rPr>
            </w:pPr>
            <w:r>
              <w:rPr>
                <w:rFonts w:ascii="Aptos Narrow" w:eastAsia="Times New Roman" w:hAnsi="Aptos Narrow" w:cs="Times New Roman"/>
                <w:color w:val="000000"/>
                <w:lang w:eastAsia="fr-BE"/>
              </w:rPr>
              <w:t>Royaume-Uni</w:t>
            </w:r>
          </w:p>
        </w:tc>
        <w:tc>
          <w:tcPr>
            <w:tcW w:w="3474" w:type="dxa"/>
            <w:tcBorders>
              <w:top w:val="nil"/>
              <w:left w:val="nil"/>
              <w:bottom w:val="single" w:sz="4" w:space="0" w:color="auto"/>
              <w:right w:val="single" w:sz="4" w:space="0" w:color="auto"/>
            </w:tcBorders>
            <w:shd w:val="clear" w:color="auto" w:fill="auto"/>
            <w:noWrap/>
            <w:vAlign w:val="bottom"/>
            <w:hideMark/>
          </w:tcPr>
          <w:p w14:paraId="295C78CE" w14:textId="77777777" w:rsidR="00D80848" w:rsidRPr="00C56D1C" w:rsidRDefault="00D80848" w:rsidP="008120EA">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1</w:t>
            </w:r>
          </w:p>
        </w:tc>
      </w:tr>
      <w:tr w:rsidR="00D80848" w:rsidRPr="00C56D1C" w14:paraId="47520720" w14:textId="77777777" w:rsidTr="008120EA">
        <w:trPr>
          <w:trHeight w:val="300"/>
          <w:jc w:val="center"/>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3AE46D0B" w14:textId="77777777" w:rsidR="00D80848" w:rsidRPr="007C4174" w:rsidRDefault="00D80848" w:rsidP="008120EA">
            <w:pPr>
              <w:spacing w:after="0" w:line="240" w:lineRule="auto"/>
              <w:rPr>
                <w:rFonts w:ascii="Aptos Narrow" w:eastAsia="Times New Roman" w:hAnsi="Aptos Narrow" w:cs="Times New Roman"/>
                <w:b/>
                <w:bCs/>
                <w:color w:val="000000"/>
                <w:lang w:eastAsia="fr-BE"/>
              </w:rPr>
            </w:pPr>
            <w:r w:rsidRPr="007C4174">
              <w:rPr>
                <w:rFonts w:ascii="Aptos Narrow" w:eastAsia="Times New Roman" w:hAnsi="Aptos Narrow" w:cs="Times New Roman"/>
                <w:b/>
                <w:bCs/>
                <w:color w:val="000000"/>
                <w:lang w:eastAsia="fr-BE"/>
              </w:rPr>
              <w:t>TOTAL</w:t>
            </w:r>
          </w:p>
        </w:tc>
        <w:tc>
          <w:tcPr>
            <w:tcW w:w="3474" w:type="dxa"/>
            <w:tcBorders>
              <w:top w:val="nil"/>
              <w:left w:val="nil"/>
              <w:bottom w:val="single" w:sz="4" w:space="0" w:color="auto"/>
              <w:right w:val="single" w:sz="4" w:space="0" w:color="auto"/>
            </w:tcBorders>
            <w:shd w:val="clear" w:color="auto" w:fill="auto"/>
            <w:noWrap/>
            <w:vAlign w:val="bottom"/>
            <w:hideMark/>
          </w:tcPr>
          <w:p w14:paraId="6837FF82" w14:textId="77777777" w:rsidR="00D80848" w:rsidRPr="007C4174" w:rsidRDefault="00D80848" w:rsidP="008120EA">
            <w:pPr>
              <w:spacing w:after="0" w:line="240" w:lineRule="auto"/>
              <w:jc w:val="center"/>
              <w:rPr>
                <w:rFonts w:ascii="Aptos Narrow" w:eastAsia="Times New Roman" w:hAnsi="Aptos Narrow" w:cs="Times New Roman"/>
                <w:b/>
                <w:bCs/>
                <w:color w:val="000000"/>
                <w:lang w:eastAsia="fr-BE"/>
              </w:rPr>
            </w:pPr>
            <w:r w:rsidRPr="007C4174">
              <w:rPr>
                <w:rFonts w:ascii="Aptos Narrow" w:eastAsia="Times New Roman" w:hAnsi="Aptos Narrow" w:cs="Times New Roman"/>
                <w:b/>
                <w:bCs/>
                <w:color w:val="000000"/>
                <w:lang w:eastAsia="fr-BE"/>
              </w:rPr>
              <w:t>221</w:t>
            </w:r>
          </w:p>
        </w:tc>
      </w:tr>
    </w:tbl>
    <w:p w14:paraId="30E83BDB" w14:textId="77777777" w:rsidR="00D80848" w:rsidRDefault="00D80848" w:rsidP="00B8691B"/>
    <w:p w14:paraId="584D033E" w14:textId="77777777" w:rsidR="00D80848" w:rsidRDefault="00D80848" w:rsidP="00B8691B">
      <w:r>
        <w:t>Le top 3 est complété de l’Allemagne, qui voit clairement notre Salon comme l’opportunité toute désignée d’atteindre les revendeurs du Benelux. Une stratégie qui vaut d’ailleurs également pour la Pologne, toujours solidement représentée à Bruxelles.</w:t>
      </w:r>
    </w:p>
    <w:p w14:paraId="1D8254B1" w14:textId="77777777" w:rsidR="00D80848" w:rsidRDefault="00D80848" w:rsidP="00B8691B">
      <w:r>
        <w:t>Du reste, nous notons une baisse du nombre d’exposants italiens, généralement installés au palais 3. Une opportunité de croissance pour la prochaine édition, lors de laquelle nous accorderons à nouveau une attention particulière aux fabricants d’Italie, surtout réputés chez nous pour leurs canapés haut de gamme.</w:t>
      </w:r>
    </w:p>
    <w:p w14:paraId="2BF7C4BF" w14:textId="77777777" w:rsidR="00664FD6" w:rsidRDefault="00D80848" w:rsidP="00B8691B">
      <w:r>
        <w:t xml:space="preserve">La principale différence de ce Salon 2024 se situe au niveau du palais 9, où le lecteur averti observera une légère baisse de la surface d’exposition, compensée par un important gain en qualité. </w:t>
      </w:r>
      <w:r w:rsidR="00664FD6">
        <w:t>Une stratégie délibérée qui découle de demandes et de remarques émanant de nos fidèles exposants de ce palais 9. La présence de plusieurs marques de qualité venues d’Ukraine et de la région de Lodz (Pologne) en est un bon exemple.</w:t>
      </w:r>
    </w:p>
    <w:p w14:paraId="4C81F0F3" w14:textId="77777777" w:rsidR="00A71F16" w:rsidRPr="0078453D" w:rsidRDefault="00A71F16" w:rsidP="00B8691B">
      <w:pPr>
        <w:rPr>
          <w:b/>
        </w:rPr>
      </w:pPr>
      <w:r w:rsidRPr="0078453D">
        <w:rPr>
          <w:b/>
        </w:rPr>
        <w:t>Vision pour la suite</w:t>
      </w:r>
    </w:p>
    <w:p w14:paraId="30058B58" w14:textId="77777777" w:rsidR="00D80848" w:rsidRDefault="00A71F16" w:rsidP="00B8691B">
      <w:r>
        <w:t>Nous clôturons traditionnellement notre présentation en vous donnant un aperçu de ce que vous pouvez attendre du prochain Salon.</w:t>
      </w:r>
    </w:p>
    <w:p w14:paraId="5FBF8C7A" w14:textId="77777777" w:rsidR="00A71F16" w:rsidRDefault="00A71F16" w:rsidP="00B8691B">
      <w:r>
        <w:t>L’édition 2025 du Salon du Meuble de Bruxelles se tiendra du 2 au 5 novembre 2025.</w:t>
      </w:r>
      <w:r w:rsidRPr="00A71F16">
        <w:t xml:space="preserve"> </w:t>
      </w:r>
    </w:p>
    <w:p w14:paraId="527D1889" w14:textId="77777777" w:rsidR="00A71F16" w:rsidRDefault="00A71F16" w:rsidP="00B8691B">
      <w:r>
        <w:lastRenderedPageBreak/>
        <w:t xml:space="preserve">Le Salon du Meuble continue de se positionner comme un évènement synonyme de fiabilité, d’efficacité et d’affaires fructueuses, le tout dans un cadre soigné et convivial. Cette phrase est l’exacte réplique de celle figurant en </w:t>
      </w:r>
      <w:r w:rsidRPr="0078453D">
        <w:t>conclusion de votre dossier de presse de 2023 et ce n’est pas un hasard. Elle reflète en effet l’essence même du Salon de Bruxelles. Nos racines restent profondément ancrées et</w:t>
      </w:r>
      <w:r w:rsidR="0078453D">
        <w:t xml:space="preserve"> forte de ces fondations, </w:t>
      </w:r>
      <w:r w:rsidRPr="0078453D">
        <w:t>notre é</w:t>
      </w:r>
      <w:r w:rsidR="00B9603B" w:rsidRPr="0078453D">
        <w:t xml:space="preserve">volution </w:t>
      </w:r>
      <w:r w:rsidR="0078453D">
        <w:t>peut</w:t>
      </w:r>
      <w:r w:rsidR="00B9603B" w:rsidRPr="0078453D">
        <w:t xml:space="preserve"> se poursuivre.</w:t>
      </w:r>
    </w:p>
    <w:p w14:paraId="24230F0C" w14:textId="77777777" w:rsidR="00A71F16" w:rsidRPr="00B8691B" w:rsidRDefault="00A71F16" w:rsidP="00B8691B"/>
    <w:sectPr w:rsidR="00A71F16" w:rsidRPr="00B869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05793" w14:textId="77777777" w:rsidR="005300B0" w:rsidRDefault="005300B0" w:rsidP="0078453D">
      <w:pPr>
        <w:spacing w:after="0" w:line="240" w:lineRule="auto"/>
      </w:pPr>
      <w:r>
        <w:separator/>
      </w:r>
    </w:p>
  </w:endnote>
  <w:endnote w:type="continuationSeparator" w:id="0">
    <w:p w14:paraId="25D359F9" w14:textId="77777777" w:rsidR="005300B0" w:rsidRDefault="005300B0" w:rsidP="00784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A3E22" w14:textId="77777777" w:rsidR="005300B0" w:rsidRDefault="005300B0" w:rsidP="0078453D">
      <w:pPr>
        <w:spacing w:after="0" w:line="240" w:lineRule="auto"/>
      </w:pPr>
      <w:r>
        <w:separator/>
      </w:r>
    </w:p>
  </w:footnote>
  <w:footnote w:type="continuationSeparator" w:id="0">
    <w:p w14:paraId="5BBB41FF" w14:textId="77777777" w:rsidR="005300B0" w:rsidRDefault="005300B0" w:rsidP="00784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E42B2"/>
    <w:multiLevelType w:val="hybridMultilevel"/>
    <w:tmpl w:val="C0A048D6"/>
    <w:lvl w:ilvl="0" w:tplc="26922674">
      <w:start w:val="1"/>
      <w:numFmt w:val="bullet"/>
      <w:lvlText w:val=""/>
      <w:lvlJc w:val="left"/>
      <w:pPr>
        <w:ind w:left="720" w:hanging="360"/>
      </w:pPr>
      <w:rPr>
        <w:rFonts w:ascii="Symbol" w:hAnsi="Symbol" w:hint="default"/>
      </w:rPr>
    </w:lvl>
    <w:lvl w:ilvl="1" w:tplc="766C80F0" w:tentative="1">
      <w:start w:val="1"/>
      <w:numFmt w:val="bullet"/>
      <w:lvlText w:val="o"/>
      <w:lvlJc w:val="left"/>
      <w:pPr>
        <w:ind w:left="1440" w:hanging="360"/>
      </w:pPr>
      <w:rPr>
        <w:rFonts w:ascii="Courier New" w:hAnsi="Courier New" w:cs="Courier New" w:hint="default"/>
      </w:rPr>
    </w:lvl>
    <w:lvl w:ilvl="2" w:tplc="E2464630" w:tentative="1">
      <w:start w:val="1"/>
      <w:numFmt w:val="bullet"/>
      <w:lvlText w:val=""/>
      <w:lvlJc w:val="left"/>
      <w:pPr>
        <w:ind w:left="2160" w:hanging="360"/>
      </w:pPr>
      <w:rPr>
        <w:rFonts w:ascii="Wingdings" w:hAnsi="Wingdings" w:hint="default"/>
      </w:rPr>
    </w:lvl>
    <w:lvl w:ilvl="3" w:tplc="1E4A85CE" w:tentative="1">
      <w:start w:val="1"/>
      <w:numFmt w:val="bullet"/>
      <w:lvlText w:val=""/>
      <w:lvlJc w:val="left"/>
      <w:pPr>
        <w:ind w:left="2880" w:hanging="360"/>
      </w:pPr>
      <w:rPr>
        <w:rFonts w:ascii="Symbol" w:hAnsi="Symbol" w:hint="default"/>
      </w:rPr>
    </w:lvl>
    <w:lvl w:ilvl="4" w:tplc="A1E099DE" w:tentative="1">
      <w:start w:val="1"/>
      <w:numFmt w:val="bullet"/>
      <w:lvlText w:val="o"/>
      <w:lvlJc w:val="left"/>
      <w:pPr>
        <w:ind w:left="3600" w:hanging="360"/>
      </w:pPr>
      <w:rPr>
        <w:rFonts w:ascii="Courier New" w:hAnsi="Courier New" w:cs="Courier New" w:hint="default"/>
      </w:rPr>
    </w:lvl>
    <w:lvl w:ilvl="5" w:tplc="6496272A" w:tentative="1">
      <w:start w:val="1"/>
      <w:numFmt w:val="bullet"/>
      <w:lvlText w:val=""/>
      <w:lvlJc w:val="left"/>
      <w:pPr>
        <w:ind w:left="4320" w:hanging="360"/>
      </w:pPr>
      <w:rPr>
        <w:rFonts w:ascii="Wingdings" w:hAnsi="Wingdings" w:hint="default"/>
      </w:rPr>
    </w:lvl>
    <w:lvl w:ilvl="6" w:tplc="BFB05AC0" w:tentative="1">
      <w:start w:val="1"/>
      <w:numFmt w:val="bullet"/>
      <w:lvlText w:val=""/>
      <w:lvlJc w:val="left"/>
      <w:pPr>
        <w:ind w:left="5040" w:hanging="360"/>
      </w:pPr>
      <w:rPr>
        <w:rFonts w:ascii="Symbol" w:hAnsi="Symbol" w:hint="default"/>
      </w:rPr>
    </w:lvl>
    <w:lvl w:ilvl="7" w:tplc="FE9401F8" w:tentative="1">
      <w:start w:val="1"/>
      <w:numFmt w:val="bullet"/>
      <w:lvlText w:val="o"/>
      <w:lvlJc w:val="left"/>
      <w:pPr>
        <w:ind w:left="5760" w:hanging="360"/>
      </w:pPr>
      <w:rPr>
        <w:rFonts w:ascii="Courier New" w:hAnsi="Courier New" w:cs="Courier New" w:hint="default"/>
      </w:rPr>
    </w:lvl>
    <w:lvl w:ilvl="8" w:tplc="DD8490DC" w:tentative="1">
      <w:start w:val="1"/>
      <w:numFmt w:val="bullet"/>
      <w:lvlText w:val=""/>
      <w:lvlJc w:val="left"/>
      <w:pPr>
        <w:ind w:left="6480" w:hanging="360"/>
      </w:pPr>
      <w:rPr>
        <w:rFonts w:ascii="Wingdings" w:hAnsi="Wingdings" w:hint="default"/>
      </w:rPr>
    </w:lvl>
  </w:abstractNum>
  <w:abstractNum w:abstractNumId="1" w15:restartNumberingAfterBreak="0">
    <w:nsid w:val="15785EEF"/>
    <w:multiLevelType w:val="hybridMultilevel"/>
    <w:tmpl w:val="61EAB63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9243FBE"/>
    <w:multiLevelType w:val="hybridMultilevel"/>
    <w:tmpl w:val="4A22931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92324A9"/>
    <w:multiLevelType w:val="hybridMultilevel"/>
    <w:tmpl w:val="700610F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307270E"/>
    <w:multiLevelType w:val="hybridMultilevel"/>
    <w:tmpl w:val="3F8E7FF2"/>
    <w:lvl w:ilvl="0" w:tplc="080C000F">
      <w:start w:val="1"/>
      <w:numFmt w:val="decimal"/>
      <w:lvlText w:val="%1."/>
      <w:lvlJc w:val="left"/>
      <w:pPr>
        <w:ind w:left="643"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EE31D5C"/>
    <w:multiLevelType w:val="hybridMultilevel"/>
    <w:tmpl w:val="AEBAB842"/>
    <w:lvl w:ilvl="0" w:tplc="BE2AC2D2">
      <w:start w:val="3"/>
      <w:numFmt w:val="decimal"/>
      <w:lvlText w:val="%1."/>
      <w:lvlJc w:val="left"/>
      <w:pPr>
        <w:ind w:left="643" w:hanging="360"/>
      </w:pPr>
      <w:rPr>
        <w:rFonts w:hint="default"/>
      </w:rPr>
    </w:lvl>
    <w:lvl w:ilvl="1" w:tplc="080C0019" w:tentative="1">
      <w:start w:val="1"/>
      <w:numFmt w:val="lowerLetter"/>
      <w:lvlText w:val="%2."/>
      <w:lvlJc w:val="left"/>
      <w:pPr>
        <w:ind w:left="1363" w:hanging="360"/>
      </w:pPr>
    </w:lvl>
    <w:lvl w:ilvl="2" w:tplc="080C001B" w:tentative="1">
      <w:start w:val="1"/>
      <w:numFmt w:val="lowerRoman"/>
      <w:lvlText w:val="%3."/>
      <w:lvlJc w:val="right"/>
      <w:pPr>
        <w:ind w:left="2083" w:hanging="180"/>
      </w:pPr>
    </w:lvl>
    <w:lvl w:ilvl="3" w:tplc="080C000F" w:tentative="1">
      <w:start w:val="1"/>
      <w:numFmt w:val="decimal"/>
      <w:lvlText w:val="%4."/>
      <w:lvlJc w:val="left"/>
      <w:pPr>
        <w:ind w:left="2803" w:hanging="360"/>
      </w:pPr>
    </w:lvl>
    <w:lvl w:ilvl="4" w:tplc="080C0019" w:tentative="1">
      <w:start w:val="1"/>
      <w:numFmt w:val="lowerLetter"/>
      <w:lvlText w:val="%5."/>
      <w:lvlJc w:val="left"/>
      <w:pPr>
        <w:ind w:left="3523" w:hanging="360"/>
      </w:pPr>
    </w:lvl>
    <w:lvl w:ilvl="5" w:tplc="080C001B" w:tentative="1">
      <w:start w:val="1"/>
      <w:numFmt w:val="lowerRoman"/>
      <w:lvlText w:val="%6."/>
      <w:lvlJc w:val="right"/>
      <w:pPr>
        <w:ind w:left="4243" w:hanging="180"/>
      </w:pPr>
    </w:lvl>
    <w:lvl w:ilvl="6" w:tplc="080C000F" w:tentative="1">
      <w:start w:val="1"/>
      <w:numFmt w:val="decimal"/>
      <w:lvlText w:val="%7."/>
      <w:lvlJc w:val="left"/>
      <w:pPr>
        <w:ind w:left="4963" w:hanging="360"/>
      </w:pPr>
    </w:lvl>
    <w:lvl w:ilvl="7" w:tplc="080C0019" w:tentative="1">
      <w:start w:val="1"/>
      <w:numFmt w:val="lowerLetter"/>
      <w:lvlText w:val="%8."/>
      <w:lvlJc w:val="left"/>
      <w:pPr>
        <w:ind w:left="5683" w:hanging="360"/>
      </w:pPr>
    </w:lvl>
    <w:lvl w:ilvl="8" w:tplc="080C001B" w:tentative="1">
      <w:start w:val="1"/>
      <w:numFmt w:val="lowerRoman"/>
      <w:lvlText w:val="%9."/>
      <w:lvlJc w:val="right"/>
      <w:pPr>
        <w:ind w:left="6403" w:hanging="180"/>
      </w:pPr>
    </w:lvl>
  </w:abstractNum>
  <w:abstractNum w:abstractNumId="6" w15:restartNumberingAfterBreak="0">
    <w:nsid w:val="60DF1E61"/>
    <w:multiLevelType w:val="hybridMultilevel"/>
    <w:tmpl w:val="3C72410E"/>
    <w:lvl w:ilvl="0" w:tplc="D4929BC8">
      <w:start w:val="1"/>
      <w:numFmt w:val="bullet"/>
      <w:lvlText w:val=""/>
      <w:lvlJc w:val="left"/>
      <w:pPr>
        <w:ind w:left="720" w:hanging="360"/>
      </w:pPr>
      <w:rPr>
        <w:rFonts w:ascii="Symbol" w:hAnsi="Symbol" w:hint="default"/>
      </w:rPr>
    </w:lvl>
    <w:lvl w:ilvl="1" w:tplc="B0B6CA66" w:tentative="1">
      <w:start w:val="1"/>
      <w:numFmt w:val="bullet"/>
      <w:lvlText w:val="o"/>
      <w:lvlJc w:val="left"/>
      <w:pPr>
        <w:ind w:left="1440" w:hanging="360"/>
      </w:pPr>
      <w:rPr>
        <w:rFonts w:ascii="Courier New" w:hAnsi="Courier New" w:cs="Courier New" w:hint="default"/>
      </w:rPr>
    </w:lvl>
    <w:lvl w:ilvl="2" w:tplc="3B82435E" w:tentative="1">
      <w:start w:val="1"/>
      <w:numFmt w:val="bullet"/>
      <w:lvlText w:val=""/>
      <w:lvlJc w:val="left"/>
      <w:pPr>
        <w:ind w:left="2160" w:hanging="360"/>
      </w:pPr>
      <w:rPr>
        <w:rFonts w:ascii="Wingdings" w:hAnsi="Wingdings" w:hint="default"/>
      </w:rPr>
    </w:lvl>
    <w:lvl w:ilvl="3" w:tplc="F4DAE070" w:tentative="1">
      <w:start w:val="1"/>
      <w:numFmt w:val="bullet"/>
      <w:lvlText w:val=""/>
      <w:lvlJc w:val="left"/>
      <w:pPr>
        <w:ind w:left="2880" w:hanging="360"/>
      </w:pPr>
      <w:rPr>
        <w:rFonts w:ascii="Symbol" w:hAnsi="Symbol" w:hint="default"/>
      </w:rPr>
    </w:lvl>
    <w:lvl w:ilvl="4" w:tplc="DEA04B4A" w:tentative="1">
      <w:start w:val="1"/>
      <w:numFmt w:val="bullet"/>
      <w:lvlText w:val="o"/>
      <w:lvlJc w:val="left"/>
      <w:pPr>
        <w:ind w:left="3600" w:hanging="360"/>
      </w:pPr>
      <w:rPr>
        <w:rFonts w:ascii="Courier New" w:hAnsi="Courier New" w:cs="Courier New" w:hint="default"/>
      </w:rPr>
    </w:lvl>
    <w:lvl w:ilvl="5" w:tplc="ED4881A0" w:tentative="1">
      <w:start w:val="1"/>
      <w:numFmt w:val="bullet"/>
      <w:lvlText w:val=""/>
      <w:lvlJc w:val="left"/>
      <w:pPr>
        <w:ind w:left="4320" w:hanging="360"/>
      </w:pPr>
      <w:rPr>
        <w:rFonts w:ascii="Wingdings" w:hAnsi="Wingdings" w:hint="default"/>
      </w:rPr>
    </w:lvl>
    <w:lvl w:ilvl="6" w:tplc="7DF22694" w:tentative="1">
      <w:start w:val="1"/>
      <w:numFmt w:val="bullet"/>
      <w:lvlText w:val=""/>
      <w:lvlJc w:val="left"/>
      <w:pPr>
        <w:ind w:left="5040" w:hanging="360"/>
      </w:pPr>
      <w:rPr>
        <w:rFonts w:ascii="Symbol" w:hAnsi="Symbol" w:hint="default"/>
      </w:rPr>
    </w:lvl>
    <w:lvl w:ilvl="7" w:tplc="7968F830" w:tentative="1">
      <w:start w:val="1"/>
      <w:numFmt w:val="bullet"/>
      <w:lvlText w:val="o"/>
      <w:lvlJc w:val="left"/>
      <w:pPr>
        <w:ind w:left="5760" w:hanging="360"/>
      </w:pPr>
      <w:rPr>
        <w:rFonts w:ascii="Courier New" w:hAnsi="Courier New" w:cs="Courier New" w:hint="default"/>
      </w:rPr>
    </w:lvl>
    <w:lvl w:ilvl="8" w:tplc="00644706" w:tentative="1">
      <w:start w:val="1"/>
      <w:numFmt w:val="bullet"/>
      <w:lvlText w:val=""/>
      <w:lvlJc w:val="left"/>
      <w:pPr>
        <w:ind w:left="6480" w:hanging="360"/>
      </w:pPr>
      <w:rPr>
        <w:rFonts w:ascii="Wingdings" w:hAnsi="Wingdings" w:hint="default"/>
      </w:rPr>
    </w:lvl>
  </w:abstractNum>
  <w:num w:numId="1" w16cid:durableId="1042286426">
    <w:abstractNumId w:val="1"/>
  </w:num>
  <w:num w:numId="2" w16cid:durableId="2132362878">
    <w:abstractNumId w:val="3"/>
  </w:num>
  <w:num w:numId="3" w16cid:durableId="1423451380">
    <w:abstractNumId w:val="2"/>
  </w:num>
  <w:num w:numId="4" w16cid:durableId="1546217684">
    <w:abstractNumId w:val="4"/>
  </w:num>
  <w:num w:numId="5" w16cid:durableId="477919299">
    <w:abstractNumId w:val="6"/>
  </w:num>
  <w:num w:numId="6" w16cid:durableId="915700776">
    <w:abstractNumId w:val="0"/>
  </w:num>
  <w:num w:numId="7" w16cid:durableId="1031951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0E"/>
    <w:rsid w:val="00047428"/>
    <w:rsid w:val="000B5BE7"/>
    <w:rsid w:val="00196171"/>
    <w:rsid w:val="0021140E"/>
    <w:rsid w:val="00252C9E"/>
    <w:rsid w:val="002A2CF9"/>
    <w:rsid w:val="00413653"/>
    <w:rsid w:val="004E42DB"/>
    <w:rsid w:val="005300B0"/>
    <w:rsid w:val="005879FF"/>
    <w:rsid w:val="00664FD6"/>
    <w:rsid w:val="00700166"/>
    <w:rsid w:val="0078453D"/>
    <w:rsid w:val="007F624E"/>
    <w:rsid w:val="008F168F"/>
    <w:rsid w:val="00A71F16"/>
    <w:rsid w:val="00A9375D"/>
    <w:rsid w:val="00B42501"/>
    <w:rsid w:val="00B8691B"/>
    <w:rsid w:val="00B9603B"/>
    <w:rsid w:val="00BD3395"/>
    <w:rsid w:val="00BE1631"/>
    <w:rsid w:val="00C76358"/>
    <w:rsid w:val="00CD4CE3"/>
    <w:rsid w:val="00D80848"/>
    <w:rsid w:val="00D83791"/>
    <w:rsid w:val="00E10228"/>
    <w:rsid w:val="00E30FDD"/>
    <w:rsid w:val="00EA63E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4099"/>
  <w15:docId w15:val="{82B1122C-06F3-4352-9EDD-AE16E4DE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53D"/>
    <w:rPr>
      <w:rFonts w:ascii="Tahoma" w:hAnsi="Tahoma" w:cs="Tahoma"/>
      <w:sz w:val="16"/>
      <w:szCs w:val="16"/>
    </w:rPr>
  </w:style>
  <w:style w:type="paragraph" w:styleId="ListParagraph">
    <w:name w:val="List Paragraph"/>
    <w:basedOn w:val="Normal"/>
    <w:uiPriority w:val="34"/>
    <w:qFormat/>
    <w:rsid w:val="0078453D"/>
    <w:pPr>
      <w:ind w:left="720"/>
      <w:contextualSpacing/>
    </w:pPr>
  </w:style>
  <w:style w:type="paragraph" w:styleId="Header">
    <w:name w:val="header"/>
    <w:basedOn w:val="Normal"/>
    <w:link w:val="HeaderChar"/>
    <w:uiPriority w:val="99"/>
    <w:unhideWhenUsed/>
    <w:rsid w:val="0078453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453D"/>
  </w:style>
  <w:style w:type="paragraph" w:styleId="Footer">
    <w:name w:val="footer"/>
    <w:basedOn w:val="Normal"/>
    <w:link w:val="FooterChar"/>
    <w:uiPriority w:val="99"/>
    <w:unhideWhenUsed/>
    <w:rsid w:val="0078453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453D"/>
  </w:style>
  <w:style w:type="paragraph" w:styleId="NoSpacing">
    <w:name w:val="No Spacing"/>
    <w:uiPriority w:val="1"/>
    <w:qFormat/>
    <w:rsid w:val="00E10228"/>
    <w:pPr>
      <w:spacing w:after="0" w:line="240" w:lineRule="auto"/>
    </w:pPr>
    <w:rPr>
      <w:lang w:val="nl-BE"/>
    </w:rPr>
  </w:style>
  <w:style w:type="character" w:styleId="Hyperlink">
    <w:name w:val="Hyperlink"/>
    <w:basedOn w:val="DefaultParagraphFont"/>
    <w:uiPriority w:val="99"/>
    <w:unhideWhenUsed/>
    <w:rsid w:val="00E10228"/>
    <w:rPr>
      <w:color w:val="0000FF" w:themeColor="hyperlink"/>
      <w:u w:val="single"/>
    </w:rPr>
  </w:style>
  <w:style w:type="character" w:customStyle="1" w:styleId="Mentionnonrsolue1">
    <w:name w:val="Mention non résolue1"/>
    <w:basedOn w:val="DefaultParagraphFont"/>
    <w:uiPriority w:val="99"/>
    <w:semiHidden/>
    <w:unhideWhenUsed/>
    <w:rsid w:val="00E10228"/>
    <w:rPr>
      <w:color w:val="605E5C"/>
      <w:shd w:val="clear" w:color="auto" w:fill="E1DFDD"/>
    </w:rPr>
  </w:style>
  <w:style w:type="paragraph" w:styleId="BodyText">
    <w:name w:val="Body Text"/>
    <w:basedOn w:val="Normal"/>
    <w:link w:val="BodyTextChar"/>
    <w:uiPriority w:val="99"/>
    <w:rsid w:val="00E10228"/>
    <w:pPr>
      <w:tabs>
        <w:tab w:val="left" w:pos="3884"/>
      </w:tabs>
      <w:overflowPunct w:val="0"/>
      <w:autoSpaceDE w:val="0"/>
      <w:autoSpaceDN w:val="0"/>
      <w:adjustRightInd w:val="0"/>
      <w:spacing w:after="0" w:line="240" w:lineRule="auto"/>
      <w:ind w:right="28"/>
      <w:jc w:val="both"/>
      <w:textAlignment w:val="baseline"/>
    </w:pPr>
    <w:rPr>
      <w:rFonts w:ascii="Times New Roman" w:eastAsia="Times New Roman" w:hAnsi="Times New Roman" w:cs="Times New Roman"/>
      <w:noProof/>
      <w:szCs w:val="20"/>
      <w:lang w:val="nl-BE" w:eastAsia="nl-NL"/>
    </w:rPr>
  </w:style>
  <w:style w:type="character" w:customStyle="1" w:styleId="BodyTextChar">
    <w:name w:val="Body Text Char"/>
    <w:basedOn w:val="DefaultParagraphFont"/>
    <w:link w:val="BodyText"/>
    <w:uiPriority w:val="99"/>
    <w:rsid w:val="00E10228"/>
    <w:rPr>
      <w:rFonts w:ascii="Times New Roman" w:eastAsia="Times New Roman" w:hAnsi="Times New Roman" w:cs="Times New Roman"/>
      <w:noProof/>
      <w:szCs w:val="20"/>
      <w:lang w:val="nl-BE" w:eastAsia="nl-NL"/>
    </w:rPr>
  </w:style>
  <w:style w:type="paragraph" w:styleId="CommentText">
    <w:name w:val="annotation text"/>
    <w:basedOn w:val="Normal"/>
    <w:link w:val="CommentTextChar"/>
    <w:uiPriority w:val="99"/>
    <w:unhideWhenUsed/>
    <w:rsid w:val="00E10228"/>
    <w:pPr>
      <w:spacing w:line="240" w:lineRule="auto"/>
    </w:pPr>
    <w:rPr>
      <w:sz w:val="20"/>
      <w:szCs w:val="20"/>
      <w:lang w:val="nl-BE"/>
    </w:rPr>
  </w:style>
  <w:style w:type="character" w:customStyle="1" w:styleId="CommentTextChar">
    <w:name w:val="Comment Text Char"/>
    <w:basedOn w:val="DefaultParagraphFont"/>
    <w:link w:val="CommentText"/>
    <w:uiPriority w:val="99"/>
    <w:rsid w:val="00E10228"/>
    <w:rPr>
      <w:sz w:val="20"/>
      <w:szCs w:val="20"/>
      <w:lang w:val="nl-BE"/>
    </w:rPr>
  </w:style>
  <w:style w:type="character" w:styleId="CommentReference">
    <w:name w:val="annotation reference"/>
    <w:basedOn w:val="DefaultParagraphFont"/>
    <w:uiPriority w:val="99"/>
    <w:semiHidden/>
    <w:unhideWhenUsed/>
    <w:rsid w:val="00E10228"/>
    <w:rPr>
      <w:sz w:val="16"/>
      <w:szCs w:val="16"/>
    </w:rPr>
  </w:style>
  <w:style w:type="paragraph" w:styleId="CommentSubject">
    <w:name w:val="annotation subject"/>
    <w:basedOn w:val="CommentText"/>
    <w:next w:val="CommentText"/>
    <w:link w:val="CommentSubjectChar"/>
    <w:uiPriority w:val="99"/>
    <w:semiHidden/>
    <w:unhideWhenUsed/>
    <w:rsid w:val="00E10228"/>
    <w:rPr>
      <w:b/>
      <w:bCs/>
    </w:rPr>
  </w:style>
  <w:style w:type="character" w:customStyle="1" w:styleId="CommentSubjectChar">
    <w:name w:val="Comment Subject Char"/>
    <w:basedOn w:val="CommentTextChar"/>
    <w:link w:val="CommentSubject"/>
    <w:uiPriority w:val="99"/>
    <w:semiHidden/>
    <w:rsid w:val="00E10228"/>
    <w:rPr>
      <w:b/>
      <w:bCs/>
      <w:sz w:val="20"/>
      <w:szCs w:val="20"/>
      <w:lang w:val="nl-BE"/>
    </w:rPr>
  </w:style>
  <w:style w:type="paragraph" w:customStyle="1" w:styleId="xmsoplaintext">
    <w:name w:val="xmsoplaintext"/>
    <w:basedOn w:val="Normal"/>
    <w:rsid w:val="00E10228"/>
    <w:pPr>
      <w:spacing w:before="100" w:beforeAutospacing="1" w:after="100" w:afterAutospacing="1" w:line="240" w:lineRule="auto"/>
    </w:pPr>
    <w:rPr>
      <w:rFonts w:ascii="Calibri" w:hAnsi="Calibri" w:cs="Calibri"/>
      <w:lang w:val="nl-BE" w:eastAsia="nl-BE"/>
    </w:rPr>
  </w:style>
  <w:style w:type="character" w:styleId="UnresolvedMention">
    <w:name w:val="Unresolved Mention"/>
    <w:basedOn w:val="DefaultParagraphFont"/>
    <w:uiPriority w:val="99"/>
    <w:rsid w:val="00E10228"/>
    <w:rPr>
      <w:color w:val="605E5C"/>
      <w:shd w:val="clear" w:color="auto" w:fill="E1DFDD"/>
    </w:rPr>
  </w:style>
  <w:style w:type="paragraph" w:styleId="Revision">
    <w:name w:val="Revision"/>
    <w:hidden/>
    <w:uiPriority w:val="99"/>
    <w:semiHidden/>
    <w:rsid w:val="00E10228"/>
    <w:pPr>
      <w:spacing w:after="0" w:line="240" w:lineRule="auto"/>
    </w:pPr>
    <w:rPr>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hyperlink" Target="mailto:filip.de.jaeger@fedustria.b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mailto:katja.devos@fedustria.be" TargetMode="External"/><Relationship Id="rId2" Type="http://schemas.openxmlformats.org/officeDocument/2006/relationships/styles" Target="styles.xml"/><Relationship Id="rId16" Type="http://schemas.openxmlformats.org/officeDocument/2006/relationships/hyperlink" Target="https://twiinz.worl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watf.news/" TargetMode="Externa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WAT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FilipD\Documents\Omzetontwikkeling%20meubelindustri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oleObject" Target="file:///C:\Users\FilipD\Documents\bestellingen%20meubelhande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nl-BE" sz="1100"/>
              <a:t>Evolution</a:t>
            </a:r>
            <a:r>
              <a:rPr lang="nl-BE" sz="1100" baseline="0"/>
              <a:t> du chiffre d'affaires dans l'industrie du meuble belge</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Blad1!$K$2</c:f>
              <c:strCache>
                <c:ptCount val="1"/>
                <c:pt idx="0">
                  <c:v>Chiffre d'affaires</c:v>
                </c:pt>
              </c:strCache>
            </c:strRef>
          </c:tx>
          <c:spPr>
            <a:solidFill>
              <a:schemeClr val="accent1"/>
            </a:solidFill>
            <a:ln>
              <a:noFill/>
            </a:ln>
            <a:effectLst/>
          </c:spPr>
          <c:invertIfNegative val="0"/>
          <c:cat>
            <c:numRef>
              <c:f>Blad1!$L$1:$S$1</c:f>
              <c:numCache>
                <c:formatCode>General</c:formatCode>
                <c:ptCount val="8"/>
                <c:pt idx="0">
                  <c:v>2016</c:v>
                </c:pt>
                <c:pt idx="1">
                  <c:v>2017</c:v>
                </c:pt>
                <c:pt idx="2">
                  <c:v>2018</c:v>
                </c:pt>
                <c:pt idx="3">
                  <c:v>2019</c:v>
                </c:pt>
                <c:pt idx="4">
                  <c:v>2020</c:v>
                </c:pt>
                <c:pt idx="5">
                  <c:v>2021</c:v>
                </c:pt>
                <c:pt idx="6">
                  <c:v>2022</c:v>
                </c:pt>
                <c:pt idx="7">
                  <c:v>2023</c:v>
                </c:pt>
              </c:numCache>
            </c:numRef>
          </c:cat>
          <c:val>
            <c:numRef>
              <c:f>Blad1!$L$2:$S$2</c:f>
              <c:numCache>
                <c:formatCode>General</c:formatCode>
                <c:ptCount val="8"/>
                <c:pt idx="0">
                  <c:v>2280.1999999999998</c:v>
                </c:pt>
                <c:pt idx="1">
                  <c:v>2144</c:v>
                </c:pt>
                <c:pt idx="2">
                  <c:v>2084.1</c:v>
                </c:pt>
                <c:pt idx="3">
                  <c:v>2091.4</c:v>
                </c:pt>
                <c:pt idx="4">
                  <c:v>2067.3000000000002</c:v>
                </c:pt>
                <c:pt idx="5">
                  <c:v>2272.1</c:v>
                </c:pt>
                <c:pt idx="6">
                  <c:v>2263.5</c:v>
                </c:pt>
                <c:pt idx="7">
                  <c:v>2104</c:v>
                </c:pt>
              </c:numCache>
            </c:numRef>
          </c:val>
          <c:extLst>
            <c:ext xmlns:c16="http://schemas.microsoft.com/office/drawing/2014/chart" uri="{C3380CC4-5D6E-409C-BE32-E72D297353CC}">
              <c16:uniqueId val="{00000000-D3F5-40DC-9460-7CB40058A075}"/>
            </c:ext>
          </c:extLst>
        </c:ser>
        <c:dLbls>
          <c:showLegendKey val="0"/>
          <c:showVal val="0"/>
          <c:showCatName val="0"/>
          <c:showSerName val="0"/>
          <c:showPercent val="0"/>
          <c:showBubbleSize val="0"/>
        </c:dLbls>
        <c:gapWidth val="150"/>
        <c:axId val="1073989984"/>
        <c:axId val="1075920288"/>
      </c:barChart>
      <c:lineChart>
        <c:grouping val="standard"/>
        <c:varyColors val="0"/>
        <c:ser>
          <c:idx val="1"/>
          <c:order val="1"/>
          <c:tx>
            <c:strRef>
              <c:f>Blad1!$K$3</c:f>
              <c:strCache>
                <c:ptCount val="1"/>
                <c:pt idx="0">
                  <c:v>Taux de croissance</c:v>
                </c:pt>
              </c:strCache>
            </c:strRef>
          </c:tx>
          <c:spPr>
            <a:ln w="28575" cap="rnd">
              <a:solidFill>
                <a:schemeClr val="accent2"/>
              </a:solidFill>
              <a:round/>
            </a:ln>
            <a:effectLst/>
          </c:spPr>
          <c:marker>
            <c:symbol val="none"/>
          </c:marker>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Blad1!$L$1:$S$1</c:f>
              <c:numCache>
                <c:formatCode>General</c:formatCode>
                <c:ptCount val="8"/>
                <c:pt idx="0">
                  <c:v>2016</c:v>
                </c:pt>
                <c:pt idx="1">
                  <c:v>2017</c:v>
                </c:pt>
                <c:pt idx="2">
                  <c:v>2018</c:v>
                </c:pt>
                <c:pt idx="3">
                  <c:v>2019</c:v>
                </c:pt>
                <c:pt idx="4">
                  <c:v>2020</c:v>
                </c:pt>
                <c:pt idx="5">
                  <c:v>2021</c:v>
                </c:pt>
                <c:pt idx="6">
                  <c:v>2022</c:v>
                </c:pt>
                <c:pt idx="7">
                  <c:v>2023</c:v>
                </c:pt>
              </c:numCache>
            </c:numRef>
          </c:cat>
          <c:val>
            <c:numRef>
              <c:f>Blad1!$L$3:$S$3</c:f>
              <c:numCache>
                <c:formatCode>0.00%</c:formatCode>
                <c:ptCount val="8"/>
                <c:pt idx="0">
                  <c:v>2.1000000000000001E-2</c:v>
                </c:pt>
                <c:pt idx="1">
                  <c:v>-7.2999999999999995E-2</c:v>
                </c:pt>
                <c:pt idx="2">
                  <c:v>-1.4E-2</c:v>
                </c:pt>
                <c:pt idx="3">
                  <c:v>3.0000000000000001E-3</c:v>
                </c:pt>
                <c:pt idx="4">
                  <c:v>-1.2E-2</c:v>
                </c:pt>
                <c:pt idx="5">
                  <c:v>9.9000000000000005E-2</c:v>
                </c:pt>
                <c:pt idx="6">
                  <c:v>-4.0000000000000001E-3</c:v>
                </c:pt>
                <c:pt idx="7" formatCode="0%">
                  <c:v>-7.0000000000000007E-2</c:v>
                </c:pt>
              </c:numCache>
            </c:numRef>
          </c:val>
          <c:smooth val="0"/>
          <c:extLst>
            <c:ext xmlns:c16="http://schemas.microsoft.com/office/drawing/2014/chart" uri="{C3380CC4-5D6E-409C-BE32-E72D297353CC}">
              <c16:uniqueId val="{00000001-D3F5-40DC-9460-7CB40058A075}"/>
            </c:ext>
          </c:extLst>
        </c:ser>
        <c:dLbls>
          <c:showLegendKey val="0"/>
          <c:showVal val="0"/>
          <c:showCatName val="0"/>
          <c:showSerName val="0"/>
          <c:showPercent val="0"/>
          <c:showBubbleSize val="0"/>
        </c:dLbls>
        <c:marker val="1"/>
        <c:smooth val="0"/>
        <c:axId val="1075918848"/>
        <c:axId val="1075917408"/>
      </c:lineChart>
      <c:catAx>
        <c:axId val="107398998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75920288"/>
        <c:crosses val="autoZero"/>
        <c:auto val="1"/>
        <c:lblAlgn val="ctr"/>
        <c:lblOffset val="100"/>
        <c:noMultiLvlLbl val="0"/>
      </c:catAx>
      <c:valAx>
        <c:axId val="1075920288"/>
        <c:scaling>
          <c:orientation val="minMax"/>
          <c:min val="0"/>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73989984"/>
        <c:crosses val="autoZero"/>
        <c:crossBetween val="between"/>
      </c:valAx>
      <c:valAx>
        <c:axId val="1075917408"/>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75918848"/>
        <c:crosses val="max"/>
        <c:crossBetween val="between"/>
      </c:valAx>
      <c:catAx>
        <c:axId val="1075918848"/>
        <c:scaling>
          <c:orientation val="minMax"/>
        </c:scaling>
        <c:delete val="1"/>
        <c:axPos val="b"/>
        <c:numFmt formatCode="General" sourceLinked="1"/>
        <c:majorTickMark val="none"/>
        <c:minorTickMark val="none"/>
        <c:tickLblPos val="nextTo"/>
        <c:crossAx val="107591740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366360454943561E-2"/>
          <c:y val="0.18590093328760612"/>
          <c:w val="0.92507523760500066"/>
          <c:h val="0.69258888515566119"/>
        </c:manualLayout>
      </c:layout>
      <c:lineChart>
        <c:grouping val="standard"/>
        <c:varyColors val="0"/>
        <c:ser>
          <c:idx val="0"/>
          <c:order val="0"/>
          <c:spPr>
            <a:ln w="38100">
              <a:solidFill>
                <a:srgbClr val="FFC000"/>
              </a:solidFill>
              <a:prstDash val="solid"/>
            </a:ln>
          </c:spPr>
          <c:marker>
            <c:symbol val="circle"/>
            <c:size val="2"/>
          </c:marker>
          <c:dLbls>
            <c:numFmt formatCode="#,##0.0" sourceLinked="0"/>
            <c:spPr>
              <a:noFill/>
              <a:ln>
                <a:noFill/>
              </a:ln>
              <a:effectLst/>
            </c:spPr>
            <c:txPr>
              <a:bodyPr wrap="square" lIns="38100" tIns="19050" rIns="38100" bIns="19050" anchor="ctr">
                <a:spAutoFit/>
              </a:bodyPr>
              <a:lstStyle/>
              <a:p>
                <a:pPr>
                  <a:defRPr sz="800" b="1"/>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PRODKAP!$A$59:$A$93</c:f>
              <c:strCache>
                <c:ptCount val="35"/>
                <c:pt idx="0">
                  <c:v>IV/15</c:v>
                </c:pt>
                <c:pt idx="1">
                  <c:v>I/16</c:v>
                </c:pt>
                <c:pt idx="2">
                  <c:v>II/16</c:v>
                </c:pt>
                <c:pt idx="3">
                  <c:v>III/16</c:v>
                </c:pt>
                <c:pt idx="4">
                  <c:v>IV/16</c:v>
                </c:pt>
                <c:pt idx="5">
                  <c:v>I/17</c:v>
                </c:pt>
                <c:pt idx="6">
                  <c:v>II/17</c:v>
                </c:pt>
                <c:pt idx="7">
                  <c:v>III/17</c:v>
                </c:pt>
                <c:pt idx="8">
                  <c:v>IV/17</c:v>
                </c:pt>
                <c:pt idx="9">
                  <c:v>I/18</c:v>
                </c:pt>
                <c:pt idx="10">
                  <c:v>II/18</c:v>
                </c:pt>
                <c:pt idx="11">
                  <c:v>III/18</c:v>
                </c:pt>
                <c:pt idx="12">
                  <c:v>IV/18</c:v>
                </c:pt>
                <c:pt idx="13">
                  <c:v>I/19</c:v>
                </c:pt>
                <c:pt idx="14">
                  <c:v>II/19</c:v>
                </c:pt>
                <c:pt idx="15">
                  <c:v>III/19</c:v>
                </c:pt>
                <c:pt idx="16">
                  <c:v>IV/19</c:v>
                </c:pt>
                <c:pt idx="17">
                  <c:v>I/20</c:v>
                </c:pt>
                <c:pt idx="18">
                  <c:v>II/20</c:v>
                </c:pt>
                <c:pt idx="19">
                  <c:v>III/20</c:v>
                </c:pt>
                <c:pt idx="20">
                  <c:v>IV/20</c:v>
                </c:pt>
                <c:pt idx="21">
                  <c:v>I/21</c:v>
                </c:pt>
                <c:pt idx="22">
                  <c:v>II/21</c:v>
                </c:pt>
                <c:pt idx="23">
                  <c:v>III/21</c:v>
                </c:pt>
                <c:pt idx="24">
                  <c:v>IV/21</c:v>
                </c:pt>
                <c:pt idx="25">
                  <c:v>I/22</c:v>
                </c:pt>
                <c:pt idx="26">
                  <c:v>II/22</c:v>
                </c:pt>
                <c:pt idx="27">
                  <c:v>III/22</c:v>
                </c:pt>
                <c:pt idx="28">
                  <c:v>IV/22</c:v>
                </c:pt>
                <c:pt idx="29">
                  <c:v>I/23</c:v>
                </c:pt>
                <c:pt idx="30">
                  <c:v>II/23</c:v>
                </c:pt>
                <c:pt idx="31">
                  <c:v>III/23</c:v>
                </c:pt>
                <c:pt idx="32">
                  <c:v>IV/23</c:v>
                </c:pt>
                <c:pt idx="33">
                  <c:v>I/24</c:v>
                </c:pt>
                <c:pt idx="34">
                  <c:v>II/24</c:v>
                </c:pt>
              </c:strCache>
            </c:strRef>
          </c:cat>
          <c:val>
            <c:numRef>
              <c:f>PRODKAP!$B$59:$B$93</c:f>
              <c:numCache>
                <c:formatCode>0.0</c:formatCode>
                <c:ptCount val="35"/>
                <c:pt idx="0">
                  <c:v>82.88</c:v>
                </c:pt>
                <c:pt idx="1">
                  <c:v>81.2</c:v>
                </c:pt>
                <c:pt idx="2">
                  <c:v>80.099999999999994</c:v>
                </c:pt>
                <c:pt idx="3">
                  <c:v>80.8</c:v>
                </c:pt>
                <c:pt idx="4">
                  <c:v>80.3</c:v>
                </c:pt>
                <c:pt idx="5" formatCode="0.00">
                  <c:v>82.5</c:v>
                </c:pt>
                <c:pt idx="6" formatCode="0.00">
                  <c:v>80.3</c:v>
                </c:pt>
                <c:pt idx="7" formatCode="0.00">
                  <c:v>79</c:v>
                </c:pt>
                <c:pt idx="8" formatCode="0.00">
                  <c:v>75</c:v>
                </c:pt>
                <c:pt idx="9" formatCode="0.00">
                  <c:v>80.900000000000006</c:v>
                </c:pt>
                <c:pt idx="10" formatCode="0.00">
                  <c:v>79.900000000000006</c:v>
                </c:pt>
                <c:pt idx="11" formatCode="0.00">
                  <c:v>82</c:v>
                </c:pt>
                <c:pt idx="12" formatCode="0.00">
                  <c:v>81.5</c:v>
                </c:pt>
                <c:pt idx="13" formatCode="0.00">
                  <c:v>79</c:v>
                </c:pt>
                <c:pt idx="14" formatCode="0.00">
                  <c:v>80.7</c:v>
                </c:pt>
                <c:pt idx="15" formatCode="0.00">
                  <c:v>81.5</c:v>
                </c:pt>
                <c:pt idx="16" formatCode="0.00">
                  <c:v>83.2</c:v>
                </c:pt>
                <c:pt idx="17" formatCode="0.00">
                  <c:v>82</c:v>
                </c:pt>
                <c:pt idx="18" formatCode="0.00">
                  <c:v>84</c:v>
                </c:pt>
                <c:pt idx="19" formatCode="0.00">
                  <c:v>86</c:v>
                </c:pt>
                <c:pt idx="20" formatCode="0.00">
                  <c:v>83.3</c:v>
                </c:pt>
                <c:pt idx="21" formatCode="0.00">
                  <c:v>86.5</c:v>
                </c:pt>
                <c:pt idx="22" formatCode="0.00">
                  <c:v>87.5</c:v>
                </c:pt>
                <c:pt idx="23" formatCode="0.00">
                  <c:v>85.9</c:v>
                </c:pt>
                <c:pt idx="24" formatCode="0.00">
                  <c:v>86.2</c:v>
                </c:pt>
                <c:pt idx="25" formatCode="0.00">
                  <c:v>83.4</c:v>
                </c:pt>
                <c:pt idx="26" formatCode="0.00">
                  <c:v>89</c:v>
                </c:pt>
                <c:pt idx="27" formatCode="0.00">
                  <c:v>80.2</c:v>
                </c:pt>
                <c:pt idx="28" formatCode="0.00">
                  <c:v>76.5</c:v>
                </c:pt>
                <c:pt idx="29" formatCode="0.00">
                  <c:v>75.900000000000006</c:v>
                </c:pt>
                <c:pt idx="30" formatCode="0.00">
                  <c:v>72.5</c:v>
                </c:pt>
                <c:pt idx="31" formatCode="0.00">
                  <c:v>71.3</c:v>
                </c:pt>
                <c:pt idx="32" formatCode="0.00">
                  <c:v>74.3</c:v>
                </c:pt>
                <c:pt idx="33" formatCode="0.00">
                  <c:v>73.2</c:v>
                </c:pt>
                <c:pt idx="34" formatCode="0.00">
                  <c:v>68</c:v>
                </c:pt>
              </c:numCache>
            </c:numRef>
          </c:val>
          <c:smooth val="0"/>
          <c:extLst>
            <c:ext xmlns:c16="http://schemas.microsoft.com/office/drawing/2014/chart" uri="{C3380CC4-5D6E-409C-BE32-E72D297353CC}">
              <c16:uniqueId val="{00000000-B6F5-496F-AD3D-BCDEFAEB93F5}"/>
            </c:ext>
          </c:extLst>
        </c:ser>
        <c:dLbls>
          <c:dLblPos val="t"/>
          <c:showLegendKey val="0"/>
          <c:showVal val="1"/>
          <c:showCatName val="0"/>
          <c:showSerName val="0"/>
          <c:showPercent val="0"/>
          <c:showBubbleSize val="0"/>
        </c:dLbls>
        <c:marker val="1"/>
        <c:smooth val="0"/>
        <c:axId val="301009920"/>
        <c:axId val="301019904"/>
      </c:lineChart>
      <c:catAx>
        <c:axId val="301009920"/>
        <c:scaling>
          <c:orientation val="minMax"/>
        </c:scaling>
        <c:delete val="0"/>
        <c:axPos val="b"/>
        <c:numFmt formatCode="General" sourceLinked="1"/>
        <c:majorTickMark val="out"/>
        <c:minorTickMark val="none"/>
        <c:tickLblPos val="nextTo"/>
        <c:spPr>
          <a:ln w="1963">
            <a:solidFill>
              <a:srgbClr val="000000"/>
            </a:solidFill>
            <a:prstDash val="solid"/>
          </a:ln>
        </c:spPr>
        <c:txPr>
          <a:bodyPr rot="0" vert="horz"/>
          <a:lstStyle/>
          <a:p>
            <a:pPr>
              <a:defRPr sz="500"/>
            </a:pPr>
            <a:endParaRPr lang="fr-FR"/>
          </a:p>
        </c:txPr>
        <c:crossAx val="301019904"/>
        <c:crosses val="autoZero"/>
        <c:auto val="1"/>
        <c:lblAlgn val="ctr"/>
        <c:lblOffset val="100"/>
        <c:tickLblSkip val="1"/>
        <c:tickMarkSkip val="1"/>
        <c:noMultiLvlLbl val="0"/>
      </c:catAx>
      <c:valAx>
        <c:axId val="301019904"/>
        <c:scaling>
          <c:orientation val="minMax"/>
          <c:min val="60"/>
        </c:scaling>
        <c:delete val="0"/>
        <c:axPos val="l"/>
        <c:majorGridlines>
          <c:spPr>
            <a:ln w="1963">
              <a:solidFill>
                <a:srgbClr val="000000"/>
              </a:solidFill>
              <a:prstDash val="sysDot"/>
            </a:ln>
          </c:spPr>
        </c:majorGridlines>
        <c:title>
          <c:tx>
            <c:rich>
              <a:bodyPr rot="0" vert="horz"/>
              <a:lstStyle/>
              <a:p>
                <a:pPr algn="ctr">
                  <a:defRPr/>
                </a:pPr>
                <a:r>
                  <a:rPr lang="nl-BE"/>
                  <a:t>in %</a:t>
                </a:r>
              </a:p>
            </c:rich>
          </c:tx>
          <c:layout>
            <c:manualLayout>
              <c:xMode val="edge"/>
              <c:yMode val="edge"/>
              <c:x val="1.1873609504026416E-2"/>
              <c:y val="6.6370136189310633E-2"/>
            </c:manualLayout>
          </c:layout>
          <c:overlay val="0"/>
          <c:spPr>
            <a:noFill/>
            <a:ln w="22404">
              <a:noFill/>
            </a:ln>
          </c:spPr>
        </c:title>
        <c:numFmt formatCode="0" sourceLinked="0"/>
        <c:majorTickMark val="out"/>
        <c:minorTickMark val="none"/>
        <c:tickLblPos val="nextTo"/>
        <c:spPr>
          <a:ln w="1963">
            <a:solidFill>
              <a:srgbClr val="000000"/>
            </a:solidFill>
            <a:prstDash val="solid"/>
          </a:ln>
        </c:spPr>
        <c:txPr>
          <a:bodyPr rot="0" vert="horz"/>
          <a:lstStyle/>
          <a:p>
            <a:pPr>
              <a:defRPr/>
            </a:pPr>
            <a:endParaRPr lang="fr-FR"/>
          </a:p>
        </c:txPr>
        <c:crossAx val="301009920"/>
        <c:crosses val="autoZero"/>
        <c:crossBetween val="between"/>
      </c:valAx>
      <c:spPr>
        <a:noFill/>
        <a:ln w="1963">
          <a:solidFill>
            <a:srgbClr val="000000"/>
          </a:solidFill>
          <a:prstDash val="solid"/>
        </a:ln>
      </c:spPr>
    </c:plotArea>
    <c:plotVisOnly val="1"/>
    <c:dispBlanksAs val="gap"/>
    <c:showDLblsOverMax val="0"/>
  </c:chart>
  <c:spPr>
    <a:noFill/>
    <a:ln>
      <a:noFill/>
    </a:ln>
  </c:spPr>
  <c:txPr>
    <a:bodyPr/>
    <a:lstStyle/>
    <a:p>
      <a:pPr>
        <a:defRPr sz="1000" b="0" i="0" u="none" strike="noStrike" baseline="0">
          <a:solidFill>
            <a:srgbClr val="000000"/>
          </a:solidFill>
          <a:latin typeface="Calibri" pitchFamily="34" charset="0"/>
          <a:ea typeface="Myriad Pro"/>
          <a:cs typeface="Calibri" pitchFamily="34" charset="0"/>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nl-BE" b="1" baseline="0"/>
              <a:t>Niveau des commandes dans le négoce de meubles</a:t>
            </a:r>
          </a:p>
          <a:p>
            <a:pPr>
              <a:defRPr b="1"/>
            </a:pPr>
            <a:r>
              <a:rPr lang="nl-BE" b="1" baseline="0"/>
              <a:t>(Cumul 8 M 2024 = -2,8 %)</a:t>
            </a:r>
            <a:endParaRPr lang="nl-BE"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spPr>
            <a:solidFill>
              <a:srgbClr val="FFC000"/>
            </a:solidFill>
            <a:ln>
              <a:noFill/>
            </a:ln>
            <a:effectLst/>
          </c:spPr>
          <c:invertIfNegative val="0"/>
          <c:cat>
            <c:multiLvlStrRef>
              <c:f>Blad1!$A$13:$B$44</c:f>
              <c:multiLvlStrCache>
                <c:ptCount val="32"/>
                <c:lvl>
                  <c:pt idx="0">
                    <c:v>J</c:v>
                  </c:pt>
                  <c:pt idx="1">
                    <c:v>F</c:v>
                  </c:pt>
                  <c:pt idx="2">
                    <c:v>M</c:v>
                  </c:pt>
                  <c:pt idx="3">
                    <c:v>A</c:v>
                  </c:pt>
                  <c:pt idx="4">
                    <c:v>M</c:v>
                  </c:pt>
                  <c:pt idx="5">
                    <c:v>J</c:v>
                  </c:pt>
                  <c:pt idx="6">
                    <c:v>J</c:v>
                  </c:pt>
                  <c:pt idx="7">
                    <c:v>A</c:v>
                  </c:pt>
                  <c:pt idx="8">
                    <c:v>S</c:v>
                  </c:pt>
                  <c:pt idx="9">
                    <c:v>O</c:v>
                  </c:pt>
                  <c:pt idx="10">
                    <c:v>N</c:v>
                  </c:pt>
                  <c:pt idx="11">
                    <c:v>D</c:v>
                  </c:pt>
                  <c:pt idx="12">
                    <c:v>J</c:v>
                  </c:pt>
                  <c:pt idx="13">
                    <c:v>F</c:v>
                  </c:pt>
                  <c:pt idx="14">
                    <c:v>M</c:v>
                  </c:pt>
                  <c:pt idx="15">
                    <c:v>A</c:v>
                  </c:pt>
                  <c:pt idx="16">
                    <c:v>M</c:v>
                  </c:pt>
                  <c:pt idx="17">
                    <c:v>J</c:v>
                  </c:pt>
                  <c:pt idx="18">
                    <c:v>J</c:v>
                  </c:pt>
                  <c:pt idx="19">
                    <c:v>A</c:v>
                  </c:pt>
                  <c:pt idx="20">
                    <c:v>S</c:v>
                  </c:pt>
                  <c:pt idx="21">
                    <c:v>O</c:v>
                  </c:pt>
                  <c:pt idx="22">
                    <c:v>N</c:v>
                  </c:pt>
                  <c:pt idx="23">
                    <c:v>D</c:v>
                  </c:pt>
                  <c:pt idx="24">
                    <c:v>J</c:v>
                  </c:pt>
                  <c:pt idx="25">
                    <c:v>F</c:v>
                  </c:pt>
                  <c:pt idx="26">
                    <c:v>M</c:v>
                  </c:pt>
                  <c:pt idx="27">
                    <c:v>A</c:v>
                  </c:pt>
                  <c:pt idx="28">
                    <c:v>M</c:v>
                  </c:pt>
                  <c:pt idx="29">
                    <c:v>J</c:v>
                  </c:pt>
                  <c:pt idx="30">
                    <c:v>J</c:v>
                  </c:pt>
                  <c:pt idx="31">
                    <c:v>A</c:v>
                  </c:pt>
                </c:lvl>
                <c:lvl>
                  <c:pt idx="0">
                    <c:v>2022</c:v>
                  </c:pt>
                  <c:pt idx="12">
                    <c:v>2023</c:v>
                  </c:pt>
                  <c:pt idx="24">
                    <c:v>2024</c:v>
                  </c:pt>
                </c:lvl>
              </c:multiLvlStrCache>
            </c:multiLvlStrRef>
          </c:cat>
          <c:val>
            <c:numRef>
              <c:f>Blad1!$C$13:$C$44</c:f>
              <c:numCache>
                <c:formatCode>0.0%</c:formatCode>
                <c:ptCount val="32"/>
                <c:pt idx="0">
                  <c:v>6.0999999999999999E-2</c:v>
                </c:pt>
                <c:pt idx="1">
                  <c:v>-0.12</c:v>
                </c:pt>
                <c:pt idx="2">
                  <c:v>-0.14399999999999999</c:v>
                </c:pt>
                <c:pt idx="3">
                  <c:v>0.191</c:v>
                </c:pt>
                <c:pt idx="4">
                  <c:v>-0.14799999999999999</c:v>
                </c:pt>
                <c:pt idx="5">
                  <c:v>1E-3</c:v>
                </c:pt>
                <c:pt idx="6">
                  <c:v>-0.1</c:v>
                </c:pt>
                <c:pt idx="7">
                  <c:v>-2.8000000000000001E-2</c:v>
                </c:pt>
                <c:pt idx="8">
                  <c:v>0.184</c:v>
                </c:pt>
                <c:pt idx="9">
                  <c:v>7.3999999999999996E-2</c:v>
                </c:pt>
                <c:pt idx="10">
                  <c:v>6.3E-2</c:v>
                </c:pt>
                <c:pt idx="11">
                  <c:v>0.11899999999999999</c:v>
                </c:pt>
                <c:pt idx="12">
                  <c:v>4.7E-2</c:v>
                </c:pt>
                <c:pt idx="13">
                  <c:v>0.14199999999999999</c:v>
                </c:pt>
                <c:pt idx="14">
                  <c:v>0.246</c:v>
                </c:pt>
                <c:pt idx="15">
                  <c:v>9.0999999999999998E-2</c:v>
                </c:pt>
                <c:pt idx="16">
                  <c:v>6.8000000000000005E-2</c:v>
                </c:pt>
                <c:pt idx="17">
                  <c:v>7.0000000000000001E-3</c:v>
                </c:pt>
                <c:pt idx="18">
                  <c:v>0.19900000000000001</c:v>
                </c:pt>
                <c:pt idx="19">
                  <c:v>0.112</c:v>
                </c:pt>
                <c:pt idx="20">
                  <c:v>1E-3</c:v>
                </c:pt>
                <c:pt idx="21">
                  <c:v>5.1999999999999998E-2</c:v>
                </c:pt>
                <c:pt idx="22">
                  <c:v>0.05</c:v>
                </c:pt>
                <c:pt idx="23">
                  <c:v>2.3E-2</c:v>
                </c:pt>
                <c:pt idx="24">
                  <c:v>-3.6999999999999998E-2</c:v>
                </c:pt>
                <c:pt idx="25">
                  <c:v>3.0000000000000001E-3</c:v>
                </c:pt>
                <c:pt idx="26">
                  <c:v>-6.0999999999999999E-2</c:v>
                </c:pt>
                <c:pt idx="27">
                  <c:v>-8.4000000000000005E-2</c:v>
                </c:pt>
                <c:pt idx="28">
                  <c:v>5.8000000000000003E-2</c:v>
                </c:pt>
                <c:pt idx="29">
                  <c:v>0.193</c:v>
                </c:pt>
                <c:pt idx="30">
                  <c:v>-0.11700000000000001</c:v>
                </c:pt>
                <c:pt idx="31">
                  <c:v>-0.109</c:v>
                </c:pt>
              </c:numCache>
            </c:numRef>
          </c:val>
          <c:extLst>
            <c:ext xmlns:c16="http://schemas.microsoft.com/office/drawing/2014/chart" uri="{C3380CC4-5D6E-409C-BE32-E72D297353CC}">
              <c16:uniqueId val="{00000000-DDCA-4612-9CFE-482D39444BD8}"/>
            </c:ext>
          </c:extLst>
        </c:ser>
        <c:dLbls>
          <c:showLegendKey val="0"/>
          <c:showVal val="0"/>
          <c:showCatName val="0"/>
          <c:showSerName val="0"/>
          <c:showPercent val="0"/>
          <c:showBubbleSize val="0"/>
        </c:dLbls>
        <c:gapWidth val="219"/>
        <c:overlap val="-27"/>
        <c:axId val="385869664"/>
        <c:axId val="385869184"/>
      </c:barChart>
      <c:catAx>
        <c:axId val="38586966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crossAx val="385869184"/>
        <c:crosses val="autoZero"/>
        <c:auto val="1"/>
        <c:lblAlgn val="ctr"/>
        <c:lblOffset val="100"/>
        <c:noMultiLvlLbl val="0"/>
      </c:catAx>
      <c:valAx>
        <c:axId val="385869184"/>
        <c:scaling>
          <c:orientation val="minMax"/>
        </c:scaling>
        <c:delete val="0"/>
        <c:axPos val="l"/>
        <c:majorGridlines>
          <c:spPr>
            <a:ln w="9525">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crossAx val="3858696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3844</Words>
  <Characters>21148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Gustot</dc:creator>
  <cp:lastModifiedBy>Thomas Hibert</cp:lastModifiedBy>
  <cp:revision>2</cp:revision>
  <cp:lastPrinted>2024-11-03T16:18:00Z</cp:lastPrinted>
  <dcterms:created xsi:type="dcterms:W3CDTF">2024-11-03T16:19:00Z</dcterms:created>
  <dcterms:modified xsi:type="dcterms:W3CDTF">2024-11-03T16:19:00Z</dcterms:modified>
</cp:coreProperties>
</file>